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D88116" w14:textId="221FBB7E" w:rsidR="00315D4F" w:rsidRDefault="00315D4F" w:rsidP="00CE07E1">
      <w:pPr>
        <w:spacing w:after="0"/>
        <w:jc w:val="center"/>
        <w:rPr>
          <w:rFonts w:asciiTheme="majorHAnsi" w:hAnsiTheme="majorHAnsi" w:cstheme="majorHAnsi"/>
        </w:rPr>
      </w:pPr>
    </w:p>
    <w:p w14:paraId="64A9A9BF" w14:textId="38333A41" w:rsidR="005067EA" w:rsidRDefault="005067EA">
      <w:pPr>
        <w:pStyle w:val="Title"/>
        <w:spacing w:after="0"/>
      </w:pPr>
      <w:r>
        <w:rPr>
          <w:rFonts w:asciiTheme="majorHAnsi" w:hAnsiTheme="majorHAnsi" w:cstheme="majorHAnsi"/>
          <w:noProof/>
        </w:rPr>
        <w:drawing>
          <wp:inline distT="0" distB="0" distL="0" distR="0" wp14:anchorId="204E9287" wp14:editId="01580064">
            <wp:extent cx="1334203" cy="253629"/>
            <wp:effectExtent l="0" t="0" r="0" b="0"/>
            <wp:docPr id="16" name="Picture 15" descr="WorkFusion.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5" descr="WorkFusion.eps"/>
                    <pic:cNvPicPr>
                      <a:picLocks noChangeAspect="1"/>
                    </pic:cNvPicPr>
                  </pic:nvPicPr>
                  <pic:blipFill rotWithShape="1">
                    <a:blip r:embed="rId8">
                      <a:extLst>
                        <a:ext uri="{28A0092B-C50C-407E-A947-70E740481C1C}">
                          <a14:useLocalDpi xmlns:a14="http://schemas.microsoft.com/office/drawing/2010/main" val="0"/>
                        </a:ext>
                      </a:extLst>
                    </a:blip>
                    <a:srcRect l="7519" t="31832"/>
                    <a:stretch/>
                  </pic:blipFill>
                  <pic:spPr>
                    <a:xfrm>
                      <a:off x="0" y="0"/>
                      <a:ext cx="1368821" cy="260210"/>
                    </a:xfrm>
                    <a:prstGeom prst="rect">
                      <a:avLst/>
                    </a:prstGeom>
                  </pic:spPr>
                </pic:pic>
              </a:graphicData>
            </a:graphic>
          </wp:inline>
        </w:drawing>
      </w:r>
    </w:p>
    <w:p w14:paraId="6226B1FA" w14:textId="44EA1EBA" w:rsidR="00315D4F" w:rsidRDefault="000A14DE">
      <w:pPr>
        <w:pStyle w:val="Title"/>
        <w:spacing w:after="0"/>
      </w:pPr>
      <w:r>
        <w:t>Subscription Agreement</w:t>
      </w:r>
    </w:p>
    <w:p w14:paraId="0186A95A" w14:textId="43078720" w:rsidR="00315D4F" w:rsidRDefault="00315D4F">
      <w:pPr>
        <w:pStyle w:val="Title"/>
        <w:rPr>
          <w:rFonts w:ascii="Times New Roman" w:hAnsi="Times New Roman"/>
          <w:b w:val="0"/>
        </w:rPr>
      </w:pPr>
    </w:p>
    <w:p w14:paraId="706DA2D4" w14:textId="5F1C4D14" w:rsidR="00CE07E1" w:rsidRDefault="00985281" w:rsidP="00CE07E1">
      <w:pPr>
        <w:spacing w:after="0"/>
        <w:jc w:val="both"/>
      </w:pPr>
      <w:r>
        <w:tab/>
      </w:r>
      <w:r w:rsidR="00CE07E1" w:rsidRPr="002712FB">
        <w:t xml:space="preserve">This </w:t>
      </w:r>
      <w:r w:rsidR="000A14DE">
        <w:rPr>
          <w:b/>
        </w:rPr>
        <w:t>Subscription</w:t>
      </w:r>
      <w:r w:rsidR="00B951DA" w:rsidRPr="00985281">
        <w:rPr>
          <w:b/>
        </w:rPr>
        <w:t xml:space="preserve"> Agreement</w:t>
      </w:r>
      <w:r w:rsidR="00B951DA">
        <w:t xml:space="preserve">, </w:t>
      </w:r>
      <w:r w:rsidR="00CE07E1" w:rsidRPr="002712FB">
        <w:t>dated as of [</w:t>
      </w:r>
      <w:r w:rsidR="00CE07E1" w:rsidRPr="002712FB">
        <w:rPr>
          <w:highlight w:val="yellow"/>
        </w:rPr>
        <w:t>date</w:t>
      </w:r>
      <w:r w:rsidR="00CE07E1" w:rsidRPr="002712FB">
        <w:t xml:space="preserve">] (the </w:t>
      </w:r>
      <w:r w:rsidR="00D84632">
        <w:t>“</w:t>
      </w:r>
      <w:r w:rsidR="00CE07E1" w:rsidRPr="00D84632">
        <w:rPr>
          <w:b/>
        </w:rPr>
        <w:t>Effective Date</w:t>
      </w:r>
      <w:r w:rsidR="00D84632">
        <w:rPr>
          <w:b/>
          <w:i/>
        </w:rPr>
        <w:t>”</w:t>
      </w:r>
      <w:r w:rsidR="00CE07E1" w:rsidRPr="002712FB">
        <w:t>)</w:t>
      </w:r>
      <w:r w:rsidR="00B951DA">
        <w:t>,</w:t>
      </w:r>
      <w:r w:rsidR="00CE07E1" w:rsidRPr="002712FB">
        <w:t xml:space="preserve"> by </w:t>
      </w:r>
      <w:r w:rsidR="00B951DA">
        <w:t xml:space="preserve">and between </w:t>
      </w:r>
      <w:r w:rsidR="00CE07E1" w:rsidRPr="002712FB">
        <w:t xml:space="preserve">(a) </w:t>
      </w:r>
      <w:r w:rsidR="00B951DA">
        <w:t>[</w:t>
      </w:r>
      <w:r w:rsidR="005067EA" w:rsidRPr="005067EA">
        <w:rPr>
          <w:b/>
          <w:i/>
        </w:rPr>
        <w:t>Insert Customer Name</w:t>
      </w:r>
      <w:r w:rsidR="00B951DA">
        <w:t>]</w:t>
      </w:r>
      <w:r w:rsidR="00CE07E1" w:rsidRPr="002712FB">
        <w:t xml:space="preserve">, a </w:t>
      </w:r>
      <w:r w:rsidR="00B951DA">
        <w:t>_______</w:t>
      </w:r>
      <w:r w:rsidR="00CE07E1" w:rsidRPr="002712FB">
        <w:t xml:space="preserve"> corporation with a principal office located at </w:t>
      </w:r>
      <w:r w:rsidR="00B951DA">
        <w:t>________________ (“</w:t>
      </w:r>
      <w:r w:rsidR="00B951DA" w:rsidRPr="00B951DA">
        <w:rPr>
          <w:b/>
        </w:rPr>
        <w:t>Customer</w:t>
      </w:r>
      <w:r w:rsidR="00B951DA">
        <w:t>”),</w:t>
      </w:r>
      <w:r w:rsidR="00CE07E1" w:rsidRPr="002712FB">
        <w:t xml:space="preserve"> and (b) </w:t>
      </w:r>
      <w:r w:rsidR="00CE07E1" w:rsidRPr="005067EA">
        <w:rPr>
          <w:b/>
        </w:rPr>
        <w:t>Crowd Computing Systems, Inc.</w:t>
      </w:r>
      <w:r w:rsidR="00CE07E1" w:rsidRPr="002712FB">
        <w:t xml:space="preserve"> d/b/a/ WorkFusion, a </w:t>
      </w:r>
      <w:r w:rsidR="00B951DA">
        <w:t xml:space="preserve">Delaware </w:t>
      </w:r>
      <w:r w:rsidR="00CE07E1" w:rsidRPr="002712FB">
        <w:t xml:space="preserve">corporation with a principal office located at 48 Wall Street, 7th </w:t>
      </w:r>
      <w:r w:rsidR="00CE07E1">
        <w:t>F</w:t>
      </w:r>
      <w:r w:rsidR="00CE07E1" w:rsidRPr="002712FB">
        <w:t>loor</w:t>
      </w:r>
      <w:r w:rsidR="00B951DA">
        <w:t xml:space="preserve">, </w:t>
      </w:r>
      <w:r w:rsidR="00CE07E1" w:rsidRPr="002712FB">
        <w:t>New York, NY 10005</w:t>
      </w:r>
      <w:r w:rsidR="00B951DA">
        <w:t xml:space="preserve"> (“</w:t>
      </w:r>
      <w:r w:rsidR="00B951DA" w:rsidRPr="00B951DA">
        <w:rPr>
          <w:b/>
        </w:rPr>
        <w:t>WorkFusion</w:t>
      </w:r>
      <w:r w:rsidR="00B951DA">
        <w:t>”)</w:t>
      </w:r>
      <w:r w:rsidR="00CE07E1" w:rsidRPr="002712FB">
        <w:t>.</w:t>
      </w:r>
    </w:p>
    <w:p w14:paraId="390C98DA" w14:textId="77777777" w:rsidR="00CE07E1" w:rsidRPr="002712FB" w:rsidRDefault="00CE07E1" w:rsidP="00CE07E1">
      <w:pPr>
        <w:spacing w:after="0"/>
        <w:jc w:val="both"/>
      </w:pPr>
    </w:p>
    <w:p w14:paraId="0BB3EB22" w14:textId="70EE4D12" w:rsidR="00CE07E1" w:rsidRPr="00CE07E1" w:rsidRDefault="00800D1B" w:rsidP="00CE07E1">
      <w:pPr>
        <w:widowControl w:val="0"/>
        <w:tabs>
          <w:tab w:val="left" w:pos="720"/>
        </w:tabs>
        <w:jc w:val="both"/>
      </w:pPr>
      <w:r>
        <w:tab/>
      </w:r>
      <w:r w:rsidR="00CE07E1" w:rsidRPr="00E65805">
        <w:t>In consideration of the mutual covenants herein, and inte</w:t>
      </w:r>
      <w:r w:rsidR="005A087F">
        <w:t>nding to be legally bound, the P</w:t>
      </w:r>
      <w:r w:rsidR="00CE07E1" w:rsidRPr="00E65805">
        <w:t>arties hereby agree as follows:</w:t>
      </w:r>
    </w:p>
    <w:p w14:paraId="7AFDB151" w14:textId="77777777" w:rsidR="000E1652" w:rsidRDefault="000E1652" w:rsidP="000E1652">
      <w:pPr>
        <w:pStyle w:val="Heading1"/>
      </w:pPr>
      <w:r>
        <w:t>INTRODUCTION</w:t>
      </w:r>
    </w:p>
    <w:p w14:paraId="6B523DAB" w14:textId="77777777" w:rsidR="00800D1B" w:rsidRDefault="000E1652" w:rsidP="00800D1B">
      <w:pPr>
        <w:pStyle w:val="Heading2"/>
      </w:pPr>
      <w:r>
        <w:rPr>
          <w:b/>
        </w:rPr>
        <w:t xml:space="preserve">Agreement and Order of Precedence.  </w:t>
      </w:r>
      <w:r>
        <w:t>A reference to “</w:t>
      </w:r>
      <w:r>
        <w:rPr>
          <w:b/>
        </w:rPr>
        <w:t>Agreement</w:t>
      </w:r>
      <w:r w:rsidR="00B951DA">
        <w:t>” means:</w:t>
      </w:r>
    </w:p>
    <w:p w14:paraId="03795F24" w14:textId="77777777" w:rsidR="00800D1B" w:rsidRDefault="001F15D8" w:rsidP="00800D1B">
      <w:pPr>
        <w:pStyle w:val="Heading2"/>
        <w:numPr>
          <w:ilvl w:val="0"/>
          <w:numId w:val="0"/>
        </w:numPr>
        <w:ind w:left="1440"/>
      </w:pPr>
      <w:r>
        <w:t>(a)</w:t>
      </w:r>
      <w:r>
        <w:tab/>
      </w:r>
      <w:r w:rsidR="005067EA">
        <w:t>this Subscription Agreement (i</w:t>
      </w:r>
      <w:r w:rsidR="00B951DA">
        <w:t>ncluding any exhibits)</w:t>
      </w:r>
      <w:r w:rsidR="000E1652">
        <w:t>;</w:t>
      </w:r>
      <w:r w:rsidR="00A561E1">
        <w:t xml:space="preserve"> </w:t>
      </w:r>
      <w:r w:rsidR="000E1652">
        <w:t>and</w:t>
      </w:r>
    </w:p>
    <w:p w14:paraId="408B8467" w14:textId="4409C443" w:rsidR="000E1652" w:rsidRDefault="00800D1B" w:rsidP="00800D1B">
      <w:pPr>
        <w:pStyle w:val="Heading2"/>
        <w:numPr>
          <w:ilvl w:val="0"/>
          <w:numId w:val="0"/>
        </w:numPr>
        <w:ind w:left="1440"/>
      </w:pPr>
      <w:r>
        <w:t>(b</w:t>
      </w:r>
      <w:r w:rsidR="001F15D8">
        <w:t>)</w:t>
      </w:r>
      <w:r w:rsidR="001F15D8">
        <w:tab/>
      </w:r>
      <w:r w:rsidR="000E1652">
        <w:t xml:space="preserve">any applicable </w:t>
      </w:r>
      <w:r w:rsidR="005067EA">
        <w:t>Statement(s) of Work</w:t>
      </w:r>
      <w:r w:rsidR="000E1652">
        <w:t>.</w:t>
      </w:r>
    </w:p>
    <w:p w14:paraId="701DEFC8" w14:textId="27355AD3" w:rsidR="00B951DA" w:rsidRDefault="00B951DA" w:rsidP="00800D1B">
      <w:pPr>
        <w:pStyle w:val="1indent"/>
        <w:ind w:left="0" w:firstLine="720"/>
      </w:pPr>
      <w:r>
        <w:t xml:space="preserve">If there is any inconsistency between </w:t>
      </w:r>
      <w:r w:rsidR="005067EA">
        <w:t xml:space="preserve">this Subscription Agreement </w:t>
      </w:r>
      <w:r>
        <w:t xml:space="preserve">and an applicable </w:t>
      </w:r>
      <w:r w:rsidR="005067EA">
        <w:t>Statement of Work</w:t>
      </w:r>
      <w:r>
        <w:t xml:space="preserve">, the </w:t>
      </w:r>
      <w:r w:rsidR="005067EA">
        <w:t>applicable Statement of Work</w:t>
      </w:r>
      <w:r>
        <w:t xml:space="preserve"> will prevail (to the extent of the inconsistency) over </w:t>
      </w:r>
      <w:r w:rsidR="005067EA">
        <w:t>this Subscription Agreement</w:t>
      </w:r>
      <w:r>
        <w:t>.</w:t>
      </w:r>
    </w:p>
    <w:p w14:paraId="520C54D2" w14:textId="77777777" w:rsidR="000E1652" w:rsidRDefault="000E1652" w:rsidP="000E1652">
      <w:pPr>
        <w:pStyle w:val="Heading2"/>
        <w:rPr>
          <w:b/>
        </w:rPr>
      </w:pPr>
      <w:r>
        <w:rPr>
          <w:b/>
        </w:rPr>
        <w:t>Definitions</w:t>
      </w:r>
    </w:p>
    <w:p w14:paraId="3E1ECF63" w14:textId="1D9D705F" w:rsidR="000E1652" w:rsidRDefault="000E1652" w:rsidP="00B66E31">
      <w:pPr>
        <w:pStyle w:val="Heading3"/>
        <w:tabs>
          <w:tab w:val="clear" w:pos="2160"/>
        </w:tabs>
        <w:ind w:left="0" w:firstLine="720"/>
      </w:pPr>
      <w:r>
        <w:t>“</w:t>
      </w:r>
      <w:r>
        <w:rPr>
          <w:b/>
        </w:rPr>
        <w:t>Affiliate</w:t>
      </w:r>
      <w:r>
        <w:t>” means, for a Party, any other entity that controls, is controlled by or under common control with the Party</w:t>
      </w:r>
      <w:r>
        <w:rPr>
          <w:b/>
        </w:rPr>
        <w:t xml:space="preserve">.  </w:t>
      </w:r>
      <w:r>
        <w:t xml:space="preserve">For the purposes of this definition, the term “control” means the direct or indirect power to direct the affairs of the other entity through at least 50% of the shares, voting rights, participation, or economic interest in </w:t>
      </w:r>
      <w:r w:rsidR="005A087F">
        <w:t>such other</w:t>
      </w:r>
      <w:r>
        <w:t xml:space="preserve"> entity.</w:t>
      </w:r>
    </w:p>
    <w:p w14:paraId="3F06CD4D" w14:textId="77777777" w:rsidR="000E1652" w:rsidRDefault="000E1652" w:rsidP="00B66E31">
      <w:pPr>
        <w:pStyle w:val="Heading3"/>
        <w:tabs>
          <w:tab w:val="clear" w:pos="2160"/>
        </w:tabs>
        <w:ind w:left="0" w:firstLine="720"/>
      </w:pPr>
      <w:r>
        <w:t>“</w:t>
      </w:r>
      <w:r>
        <w:rPr>
          <w:b/>
        </w:rPr>
        <w:t>Claim</w:t>
      </w:r>
      <w:r>
        <w:t>” means a claim, action, or legal proceeding made against a person or entity, however arising and whether present or future, fixed or unascertained, actual, threatened or contingent.</w:t>
      </w:r>
    </w:p>
    <w:p w14:paraId="57BCAF6E" w14:textId="43CCEE68" w:rsidR="000E1652" w:rsidRDefault="001F15D8" w:rsidP="00B66E31">
      <w:pPr>
        <w:pStyle w:val="Heading3"/>
        <w:tabs>
          <w:tab w:val="clear" w:pos="2160"/>
        </w:tabs>
        <w:ind w:left="0" w:firstLine="720"/>
        <w:rPr>
          <w:rFonts w:asciiTheme="minorHAnsi" w:hAnsiTheme="minorHAnsi"/>
        </w:rPr>
      </w:pPr>
      <w:r>
        <w:t xml:space="preserve"> </w:t>
      </w:r>
      <w:r w:rsidR="000E1652">
        <w:t>“</w:t>
      </w:r>
      <w:r w:rsidR="000E1652">
        <w:rPr>
          <w:b/>
        </w:rPr>
        <w:t>Confidential Information</w:t>
      </w:r>
      <w:r w:rsidR="000E1652">
        <w:t>” means a Discloser’s or Discloser’s Affiliates’ non-public information (including copies, summaries, and extracts): (i) in printed, textual, graphic, or electronic form; or (ii) in non- tangible form</w:t>
      </w:r>
      <w:r w:rsidR="000E1652">
        <w:rPr>
          <w:rFonts w:asciiTheme="minorHAnsi" w:hAnsiTheme="minorHAnsi"/>
        </w:rPr>
        <w:t>.  The Party disclosing Confidential Information is referred to as “Discloser” and the Party receiving Confidential Information is referred to as “Recipient”.  Confidential Information does not include information that:</w:t>
      </w:r>
    </w:p>
    <w:p w14:paraId="7CA2FEF7" w14:textId="77777777" w:rsidR="000E1652" w:rsidRDefault="000E1652" w:rsidP="00B66E31">
      <w:pPr>
        <w:pStyle w:val="Heading4"/>
        <w:tabs>
          <w:tab w:val="clear" w:pos="2880"/>
        </w:tabs>
        <w:ind w:left="720" w:firstLine="720"/>
      </w:pPr>
      <w:r>
        <w:t>is or becomes generally publicly available at or after the time of disclosure through no fault of either Recipient or Recipient’s Affiliate;</w:t>
      </w:r>
    </w:p>
    <w:p w14:paraId="141C4FDB" w14:textId="77777777" w:rsidR="000E1652" w:rsidRDefault="000E1652" w:rsidP="00B66E31">
      <w:pPr>
        <w:pStyle w:val="Heading4"/>
        <w:tabs>
          <w:tab w:val="clear" w:pos="2880"/>
        </w:tabs>
        <w:ind w:left="720" w:firstLine="720"/>
      </w:pPr>
      <w:r>
        <w:lastRenderedPageBreak/>
        <w:t>was known to Recipient or Recipient’s Affiliate (as applicable), free of any confidentiality obligations, before its disclosure by either Discloser or Discloser’s Affiliate;</w:t>
      </w:r>
    </w:p>
    <w:p w14:paraId="1D303D6E" w14:textId="77777777" w:rsidR="000E1652" w:rsidRDefault="000E1652" w:rsidP="00B66E31">
      <w:pPr>
        <w:pStyle w:val="Heading4"/>
        <w:tabs>
          <w:tab w:val="clear" w:pos="2880"/>
        </w:tabs>
        <w:ind w:left="720" w:firstLine="720"/>
      </w:pPr>
      <w:r>
        <w:t xml:space="preserve">becomes known to Recipient or Recipient’s Affiliate (as applicable), free of any confidentiality obligations, from a source other than either Discloser or Discloser’s Affiliate; </w:t>
      </w:r>
    </w:p>
    <w:p w14:paraId="5EB179A1" w14:textId="77777777" w:rsidR="000E1652" w:rsidRDefault="000E1652" w:rsidP="00B66E31">
      <w:pPr>
        <w:pStyle w:val="Heading4"/>
        <w:tabs>
          <w:tab w:val="clear" w:pos="2880"/>
        </w:tabs>
        <w:ind w:left="720" w:firstLine="720"/>
      </w:pPr>
      <w:r>
        <w:t>is retained in the unaided memories of Recipient’s representatives who have had access to the Discloser’s Confidential Information; or</w:t>
      </w:r>
    </w:p>
    <w:p w14:paraId="5993F911" w14:textId="77777777" w:rsidR="000E1652" w:rsidRDefault="000E1652" w:rsidP="00B66E31">
      <w:pPr>
        <w:pStyle w:val="Heading4"/>
        <w:tabs>
          <w:tab w:val="clear" w:pos="2880"/>
        </w:tabs>
        <w:ind w:left="720" w:firstLine="720"/>
      </w:pPr>
      <w:r>
        <w:t>is independently developed by either Recipient or Recipient’s Affiliate without use of Confidential Information.</w:t>
      </w:r>
    </w:p>
    <w:p w14:paraId="161A3F9E" w14:textId="7453F09C" w:rsidR="000E1652" w:rsidRDefault="000E1652" w:rsidP="00B66E31">
      <w:pPr>
        <w:pStyle w:val="Heading3"/>
        <w:tabs>
          <w:tab w:val="clear" w:pos="2160"/>
        </w:tabs>
        <w:ind w:left="0" w:firstLine="720"/>
      </w:pPr>
      <w:r>
        <w:t>“</w:t>
      </w:r>
      <w:r>
        <w:rPr>
          <w:b/>
        </w:rPr>
        <w:t>Customer System</w:t>
      </w:r>
      <w:r>
        <w:t>” means the Customer's information technology infrastructure, including computers, software, hardware, databases, electronic systems (including database management systems) and networks, whether operated directly by Customer or through the use of third-party services</w:t>
      </w:r>
      <w:r>
        <w:rPr>
          <w:rFonts w:asciiTheme="minorHAnsi" w:hAnsiTheme="minorHAnsi"/>
        </w:rPr>
        <w:t>.</w:t>
      </w:r>
    </w:p>
    <w:p w14:paraId="2CC5B35B" w14:textId="0A047256" w:rsidR="00034CD6" w:rsidRDefault="00034CD6" w:rsidP="00B66E31">
      <w:pPr>
        <w:pStyle w:val="Heading3"/>
        <w:tabs>
          <w:tab w:val="clear" w:pos="2160"/>
        </w:tabs>
        <w:ind w:left="0" w:firstLine="720"/>
      </w:pPr>
      <w:r>
        <w:rPr>
          <w:rFonts w:asciiTheme="minorHAnsi" w:hAnsiTheme="minorHAnsi"/>
        </w:rPr>
        <w:t>“</w:t>
      </w:r>
      <w:r>
        <w:rPr>
          <w:rFonts w:asciiTheme="minorHAnsi" w:hAnsiTheme="minorHAnsi"/>
          <w:b/>
        </w:rPr>
        <w:t>Disaster Recovery Environment</w:t>
      </w:r>
      <w:r>
        <w:rPr>
          <w:rFonts w:asciiTheme="minorHAnsi" w:hAnsiTheme="minorHAnsi"/>
        </w:rPr>
        <w:t>” means Customer’s technical environment designed solely to allow Customer to respond to an interruption in service that is due to an event beyond Customer’s control, where Customer cannot provide critical business functions for a material period of time.</w:t>
      </w:r>
    </w:p>
    <w:p w14:paraId="1992DC40" w14:textId="409EF264" w:rsidR="000E1652" w:rsidRDefault="000E1652" w:rsidP="00B66E31">
      <w:pPr>
        <w:pStyle w:val="Heading3"/>
        <w:tabs>
          <w:tab w:val="clear" w:pos="2160"/>
        </w:tabs>
        <w:ind w:left="0" w:firstLine="720"/>
      </w:pPr>
      <w:r>
        <w:t>“</w:t>
      </w:r>
      <w:r>
        <w:rPr>
          <w:b/>
        </w:rPr>
        <w:t>Documentation</w:t>
      </w:r>
      <w:r>
        <w:t>” means any manuals, instructions or other documents or materials that WorkFusion provides or makes available to Customer in any form or medium and which describe the functionality, components, features or requirements of the Products and Services, including any aspect of the installation, configuration, integration, operation, use, support or maintenance thereof.</w:t>
      </w:r>
    </w:p>
    <w:p w14:paraId="15E38B4E" w14:textId="3430C467" w:rsidR="000E1652" w:rsidRDefault="000E1652" w:rsidP="00B66E31">
      <w:pPr>
        <w:pStyle w:val="Heading3"/>
        <w:tabs>
          <w:tab w:val="clear" w:pos="2160"/>
        </w:tabs>
        <w:ind w:left="0" w:firstLine="720"/>
      </w:pPr>
      <w:r>
        <w:t>“</w:t>
      </w:r>
      <w:r>
        <w:rPr>
          <w:b/>
        </w:rPr>
        <w:t>Indemnified Technology</w:t>
      </w:r>
      <w:r>
        <w:t>” means On-</w:t>
      </w:r>
      <w:r w:rsidR="007549B9">
        <w:t>premise Software</w:t>
      </w:r>
      <w:r>
        <w:t xml:space="preserve"> paid for by Customer.</w:t>
      </w:r>
    </w:p>
    <w:p w14:paraId="5563D9F8" w14:textId="77777777" w:rsidR="000E1652" w:rsidRDefault="000E1652" w:rsidP="00B66E31">
      <w:pPr>
        <w:pStyle w:val="Heading3"/>
        <w:tabs>
          <w:tab w:val="clear" w:pos="2160"/>
        </w:tabs>
        <w:ind w:left="0" w:firstLine="720"/>
      </w:pPr>
      <w:r>
        <w:t>“</w:t>
      </w:r>
      <w:r>
        <w:rPr>
          <w:b/>
        </w:rPr>
        <w:t>Losses</w:t>
      </w:r>
      <w:r>
        <w:t>” means any damages, losses, costs, expenses, or liabilities incurred by a person or entity.</w:t>
      </w:r>
    </w:p>
    <w:p w14:paraId="369631D0" w14:textId="61EB695C" w:rsidR="000E1652" w:rsidRDefault="000E1652" w:rsidP="00B66E31">
      <w:pPr>
        <w:pStyle w:val="Heading3"/>
        <w:tabs>
          <w:tab w:val="clear" w:pos="2160"/>
        </w:tabs>
        <w:ind w:left="0" w:firstLine="720"/>
      </w:pPr>
      <w:r>
        <w:t>“</w:t>
      </w:r>
      <w:r>
        <w:rPr>
          <w:b/>
        </w:rPr>
        <w:t>On-premise Software</w:t>
      </w:r>
      <w:r>
        <w:t>” means the WorkFusion software that is deployed by or on behalf of Customer on hardware designated by Customer, as set out in the SOW.</w:t>
      </w:r>
    </w:p>
    <w:p w14:paraId="3B01C4D7" w14:textId="581BB847" w:rsidR="000E1652" w:rsidRDefault="000E1652" w:rsidP="00B66E31">
      <w:pPr>
        <w:pStyle w:val="Heading3"/>
        <w:tabs>
          <w:tab w:val="clear" w:pos="2160"/>
        </w:tabs>
        <w:ind w:left="0" w:firstLine="720"/>
      </w:pPr>
      <w:r>
        <w:t>“</w:t>
      </w:r>
      <w:r>
        <w:rPr>
          <w:b/>
        </w:rPr>
        <w:t>Party</w:t>
      </w:r>
      <w:r>
        <w:t>” means WorkFusion or Customer, as applicable</w:t>
      </w:r>
      <w:r w:rsidR="005A087F">
        <w:t>, and “</w:t>
      </w:r>
      <w:r w:rsidR="005A087F" w:rsidRPr="005A087F">
        <w:rPr>
          <w:b/>
        </w:rPr>
        <w:t>Parties</w:t>
      </w:r>
      <w:r w:rsidR="005A087F">
        <w:t>” means WorkFusion and Customer.</w:t>
      </w:r>
    </w:p>
    <w:p w14:paraId="08A8EC8A" w14:textId="6B1CEC97" w:rsidR="000E1652" w:rsidRDefault="007549B9" w:rsidP="00B66E31">
      <w:pPr>
        <w:pStyle w:val="Heading3"/>
        <w:tabs>
          <w:tab w:val="clear" w:pos="2160"/>
        </w:tabs>
        <w:ind w:left="0" w:firstLine="720"/>
      </w:pPr>
      <w:r>
        <w:t xml:space="preserve"> </w:t>
      </w:r>
      <w:r w:rsidR="000E1652">
        <w:t>“</w:t>
      </w:r>
      <w:r w:rsidR="000E1652">
        <w:rPr>
          <w:b/>
        </w:rPr>
        <w:t>Products and Services</w:t>
      </w:r>
      <w:r w:rsidR="000E1652">
        <w:t>” means one or more of the following procured by Customer: On-Pre</w:t>
      </w:r>
      <w:r>
        <w:t xml:space="preserve">mise Software </w:t>
      </w:r>
      <w:r w:rsidR="000E1652">
        <w:t>or Professional Services, as set out in the SOW</w:t>
      </w:r>
      <w:r w:rsidR="000E1652">
        <w:rPr>
          <w:rFonts w:asciiTheme="minorHAnsi" w:hAnsiTheme="minorHAnsi"/>
        </w:rPr>
        <w:t>.</w:t>
      </w:r>
    </w:p>
    <w:p w14:paraId="53871AE9" w14:textId="77777777" w:rsidR="000E1652" w:rsidRDefault="000E1652" w:rsidP="00B66E31">
      <w:pPr>
        <w:pStyle w:val="Heading3"/>
        <w:tabs>
          <w:tab w:val="clear" w:pos="2160"/>
        </w:tabs>
        <w:ind w:left="0" w:firstLine="720"/>
      </w:pPr>
      <w:r>
        <w:t>“</w:t>
      </w:r>
      <w:r>
        <w:rPr>
          <w:b/>
        </w:rPr>
        <w:t>Professional Services</w:t>
      </w:r>
      <w:r>
        <w:t>” means any consulting, training, implementation, or technical services provided by WorkFusion to Customer, as set out in the “WorkFusion Professional Services” section of the SOW.</w:t>
      </w:r>
    </w:p>
    <w:p w14:paraId="4D44144B" w14:textId="7F18419D" w:rsidR="000E1652" w:rsidRDefault="000E1652" w:rsidP="00B66E31">
      <w:pPr>
        <w:pStyle w:val="Heading3"/>
        <w:tabs>
          <w:tab w:val="clear" w:pos="2160"/>
        </w:tabs>
        <w:ind w:left="0" w:firstLine="720"/>
      </w:pPr>
      <w:r>
        <w:lastRenderedPageBreak/>
        <w:t>“</w:t>
      </w:r>
      <w:r>
        <w:rPr>
          <w:b/>
        </w:rPr>
        <w:t>SOW</w:t>
      </w:r>
      <w:r>
        <w:t xml:space="preserve">” means the </w:t>
      </w:r>
      <w:r w:rsidR="002E6475">
        <w:t xml:space="preserve">statement of work </w:t>
      </w:r>
      <w:r>
        <w:t>for the Products and Services that is executed b</w:t>
      </w:r>
      <w:r w:rsidR="002E6475">
        <w:t>etween WorkFusion and Customer.</w:t>
      </w:r>
    </w:p>
    <w:p w14:paraId="47CB6859" w14:textId="750CA125" w:rsidR="000E1652" w:rsidRDefault="000E1652" w:rsidP="00B66E31">
      <w:pPr>
        <w:pStyle w:val="Heading3"/>
        <w:tabs>
          <w:tab w:val="clear" w:pos="2160"/>
        </w:tabs>
        <w:ind w:left="0" w:firstLine="720"/>
      </w:pPr>
      <w:r>
        <w:t>“</w:t>
      </w:r>
      <w:r>
        <w:rPr>
          <w:b/>
        </w:rPr>
        <w:t>Subscription Period</w:t>
      </w:r>
      <w:r>
        <w:t>” means the duration of the subscription granted for the On-Premise Software, as specified in the SOW, or any shorter term arising from a termination of th</w:t>
      </w:r>
      <w:r w:rsidR="00031F69">
        <w:t>e</w:t>
      </w:r>
      <w:r>
        <w:t xml:space="preserve"> Agreement.</w:t>
      </w:r>
    </w:p>
    <w:p w14:paraId="6749F030" w14:textId="2497F5A9" w:rsidR="000E1652" w:rsidRDefault="009429CE" w:rsidP="00B66E31">
      <w:pPr>
        <w:pStyle w:val="Heading3"/>
        <w:numPr>
          <w:ilvl w:val="0"/>
          <w:numId w:val="0"/>
        </w:numPr>
        <w:ind w:firstLine="720"/>
      </w:pPr>
      <w:r>
        <w:t>(O</w:t>
      </w:r>
      <w:r w:rsidR="00F75E89">
        <w:t>)</w:t>
      </w:r>
      <w:r w:rsidR="00F75E89">
        <w:tab/>
      </w:r>
      <w:r w:rsidR="000E1652">
        <w:t>“</w:t>
      </w:r>
      <w:r w:rsidR="000E1652">
        <w:rPr>
          <w:b/>
        </w:rPr>
        <w:t>WorkFusion Technology</w:t>
      </w:r>
      <w:r w:rsidR="000E1652">
        <w:t>” means technology owned by WorkFusion or licensed to WorkFusion by a third party (including the Products and Services, Reports, software tools, algorithms, software (in source and object forms), user interface designs, architecture, toolkits, plug-ins, objects and Documentation, network designs, processes, know-how, methodologies, trade secrets, and any related intellectual property rights throughout the world), and suggestions made to WorkFusion that are incorporated into any of the foregoing (which will be deemed assigned to WorkFusion), as well as any of the derivatives, modifications, improvements, enhancements, or extensions of the above, whenever developed.</w:t>
      </w:r>
    </w:p>
    <w:p w14:paraId="26D8A28D" w14:textId="77777777" w:rsidR="00F66FF0" w:rsidRDefault="00F66FF0" w:rsidP="00F66FF0">
      <w:pPr>
        <w:pStyle w:val="Heading1"/>
        <w:rPr>
          <w:rFonts w:asciiTheme="minorHAnsi" w:hAnsiTheme="minorHAnsi"/>
          <w:b w:val="0"/>
        </w:rPr>
      </w:pPr>
      <w:r>
        <w:rPr>
          <w:rFonts w:asciiTheme="minorHAnsi" w:hAnsiTheme="minorHAnsi"/>
        </w:rPr>
        <w:t>SUBSCRIPTION AND RESTRICTIONS</w:t>
      </w:r>
    </w:p>
    <w:p w14:paraId="5FE0B54A" w14:textId="1C944224" w:rsidR="00F66FF0" w:rsidRDefault="00F66FF0" w:rsidP="00F66FF0">
      <w:pPr>
        <w:pStyle w:val="Heading2"/>
        <w:rPr>
          <w:rFonts w:asciiTheme="minorHAnsi" w:hAnsiTheme="minorHAnsi"/>
        </w:rPr>
      </w:pPr>
      <w:r>
        <w:rPr>
          <w:rFonts w:asciiTheme="minorHAnsi" w:hAnsiTheme="minorHAnsi"/>
          <w:b/>
        </w:rPr>
        <w:t>Subscription Grant</w:t>
      </w:r>
    </w:p>
    <w:p w14:paraId="4A97CF51" w14:textId="4217B64A" w:rsidR="00F66FF0" w:rsidRDefault="00F66FF0" w:rsidP="00B8762B">
      <w:pPr>
        <w:pStyle w:val="Heading3"/>
        <w:tabs>
          <w:tab w:val="clear" w:pos="2160"/>
        </w:tabs>
        <w:ind w:left="720" w:firstLine="720"/>
        <w:rPr>
          <w:rFonts w:asciiTheme="minorHAnsi" w:hAnsiTheme="minorHAnsi"/>
        </w:rPr>
      </w:pPr>
      <w:r>
        <w:t>Subject</w:t>
      </w:r>
      <w:r>
        <w:rPr>
          <w:rFonts w:asciiTheme="minorHAnsi" w:hAnsiTheme="minorHAnsi"/>
        </w:rPr>
        <w:t xml:space="preserve"> to the terms of this Agreement, WorkFusion grants Customer, during the Subscription </w:t>
      </w:r>
      <w:r w:rsidR="000A14DE">
        <w:rPr>
          <w:rFonts w:asciiTheme="minorHAnsi" w:hAnsiTheme="minorHAnsi"/>
        </w:rPr>
        <w:t>Period</w:t>
      </w:r>
      <w:r>
        <w:rPr>
          <w:rFonts w:asciiTheme="minorHAnsi" w:hAnsiTheme="minorHAnsi"/>
        </w:rPr>
        <w:t>, a non-exclusive and non-transferable subscription to:</w:t>
      </w:r>
    </w:p>
    <w:p w14:paraId="3CF944CC" w14:textId="1BBE5150" w:rsidR="00F66FF0" w:rsidRDefault="00F66FF0" w:rsidP="00B66E31">
      <w:pPr>
        <w:pStyle w:val="Heading4"/>
        <w:tabs>
          <w:tab w:val="num" w:pos="1440"/>
        </w:tabs>
        <w:ind w:left="2160"/>
        <w:rPr>
          <w:rFonts w:asciiTheme="minorHAnsi" w:hAnsiTheme="minorHAnsi"/>
        </w:rPr>
      </w:pPr>
      <w:r>
        <w:rPr>
          <w:rFonts w:asciiTheme="minorHAnsi" w:hAnsiTheme="minorHAnsi"/>
        </w:rPr>
        <w:t xml:space="preserve">install and use the On-premise Software on Customer Systems for its internal operations, for the platforms and </w:t>
      </w:r>
      <w:r>
        <w:t>quantities</w:t>
      </w:r>
      <w:r>
        <w:rPr>
          <w:rFonts w:asciiTheme="minorHAnsi" w:hAnsiTheme="minorHAnsi"/>
        </w:rPr>
        <w:t xml:space="preserve"> set out in the SOW, and in accordance with th</w:t>
      </w:r>
      <w:r w:rsidR="00031F69">
        <w:rPr>
          <w:rFonts w:asciiTheme="minorHAnsi" w:hAnsiTheme="minorHAnsi"/>
        </w:rPr>
        <w:t>e</w:t>
      </w:r>
      <w:r>
        <w:rPr>
          <w:rFonts w:asciiTheme="minorHAnsi" w:hAnsiTheme="minorHAnsi"/>
        </w:rPr>
        <w:t xml:space="preserve"> Agreement; and</w:t>
      </w:r>
    </w:p>
    <w:p w14:paraId="41D10EF1" w14:textId="2A400B99" w:rsidR="00F66FF0" w:rsidRDefault="00F66FF0" w:rsidP="00B66E31">
      <w:pPr>
        <w:pStyle w:val="Heading4"/>
        <w:tabs>
          <w:tab w:val="num" w:pos="1440"/>
        </w:tabs>
        <w:ind w:left="2160"/>
        <w:rPr>
          <w:rFonts w:asciiTheme="minorHAnsi" w:hAnsiTheme="minorHAnsi"/>
        </w:rPr>
      </w:pPr>
      <w:r>
        <w:rPr>
          <w:rFonts w:asciiTheme="minorHAnsi" w:hAnsiTheme="minorHAnsi"/>
        </w:rPr>
        <w:t xml:space="preserve">use, copy, and distribute internally the Documentation in accordance with </w:t>
      </w:r>
      <w:r w:rsidR="0095330A">
        <w:rPr>
          <w:rFonts w:asciiTheme="minorHAnsi" w:hAnsiTheme="minorHAnsi"/>
        </w:rPr>
        <w:t>the</w:t>
      </w:r>
      <w:r>
        <w:rPr>
          <w:rFonts w:asciiTheme="minorHAnsi" w:hAnsiTheme="minorHAnsi"/>
        </w:rPr>
        <w:t xml:space="preserve"> Agreement, as reasonably required for lawful use of the On-premise Software. Any permitted copies of the </w:t>
      </w:r>
      <w:r>
        <w:t>Documentation</w:t>
      </w:r>
      <w:r>
        <w:rPr>
          <w:rFonts w:asciiTheme="minorHAnsi" w:hAnsiTheme="minorHAnsi"/>
        </w:rPr>
        <w:t xml:space="preserve"> must contain the same copyright and other proprietary notices that appear in the original Documentation.</w:t>
      </w:r>
    </w:p>
    <w:p w14:paraId="0C36FC4F" w14:textId="13D5646F" w:rsidR="00F66FF0" w:rsidRDefault="00031F69" w:rsidP="00B8762B">
      <w:pPr>
        <w:pStyle w:val="Heading3"/>
        <w:tabs>
          <w:tab w:val="clear" w:pos="2160"/>
        </w:tabs>
        <w:ind w:left="720" w:firstLine="720"/>
        <w:rPr>
          <w:rFonts w:asciiTheme="minorHAnsi" w:hAnsiTheme="minorHAnsi"/>
        </w:rPr>
      </w:pPr>
      <w:r>
        <w:rPr>
          <w:rFonts w:asciiTheme="minorHAnsi" w:hAnsiTheme="minorHAnsi"/>
        </w:rPr>
        <w:t>The subscription in S</w:t>
      </w:r>
      <w:r w:rsidR="00F66FF0">
        <w:rPr>
          <w:rFonts w:asciiTheme="minorHAnsi" w:hAnsiTheme="minorHAnsi"/>
        </w:rPr>
        <w:t xml:space="preserve">ection 2.1(A) does not grant Customer a subscription to any software components, modules, or </w:t>
      </w:r>
      <w:r w:rsidR="00F66FF0">
        <w:t>other</w:t>
      </w:r>
      <w:r w:rsidR="00F66FF0">
        <w:rPr>
          <w:rFonts w:asciiTheme="minorHAnsi" w:hAnsiTheme="minorHAnsi"/>
        </w:rPr>
        <w:t xml:space="preserve"> software that may be delivered with the On-premise Software, but are not identified in the SOW.</w:t>
      </w:r>
    </w:p>
    <w:p w14:paraId="347A247D" w14:textId="0FAD966A" w:rsidR="00F66FF0" w:rsidRDefault="00F66FF0" w:rsidP="00B8762B">
      <w:pPr>
        <w:pStyle w:val="Heading2"/>
        <w:tabs>
          <w:tab w:val="clear" w:pos="1440"/>
        </w:tabs>
        <w:ind w:left="0" w:firstLine="720"/>
        <w:rPr>
          <w:rFonts w:asciiTheme="minorHAnsi" w:hAnsiTheme="minorHAnsi"/>
        </w:rPr>
      </w:pPr>
      <w:r>
        <w:rPr>
          <w:rFonts w:asciiTheme="minorHAnsi" w:hAnsiTheme="minorHAnsi"/>
          <w:b/>
        </w:rPr>
        <w:t>Termination or Expiration</w:t>
      </w:r>
      <w:r>
        <w:rPr>
          <w:rFonts w:asciiTheme="minorHAnsi" w:hAnsiTheme="minorHAnsi"/>
        </w:rPr>
        <w:t>. Upon termination of a subscription or th</w:t>
      </w:r>
      <w:r w:rsidR="00031F69">
        <w:rPr>
          <w:rFonts w:asciiTheme="minorHAnsi" w:hAnsiTheme="minorHAnsi"/>
        </w:rPr>
        <w:t>e</w:t>
      </w:r>
      <w:r>
        <w:rPr>
          <w:rFonts w:asciiTheme="minorHAnsi" w:hAnsiTheme="minorHAnsi"/>
        </w:rPr>
        <w:t xml:space="preserve"> Agreement, or upon expiration of the Subscription </w:t>
      </w:r>
      <w:r w:rsidR="00031F69">
        <w:rPr>
          <w:rFonts w:asciiTheme="minorHAnsi" w:hAnsiTheme="minorHAnsi"/>
        </w:rPr>
        <w:t>Period</w:t>
      </w:r>
      <w:r>
        <w:rPr>
          <w:rFonts w:asciiTheme="minorHAnsi" w:hAnsiTheme="minorHAnsi"/>
        </w:rPr>
        <w:t xml:space="preserve">, Customer must cease to use the On-premise Software, uninstall all copies of the On-premise Software from the Customer Systems, and destroy any media containing the On-premise Software. Some or all of the On-premise Software may cease to operate without prior notice upon expiration or termination of the Subscription </w:t>
      </w:r>
      <w:r w:rsidR="00031F69">
        <w:rPr>
          <w:rFonts w:asciiTheme="minorHAnsi" w:hAnsiTheme="minorHAnsi"/>
        </w:rPr>
        <w:t>Period</w:t>
      </w:r>
      <w:r>
        <w:rPr>
          <w:rFonts w:asciiTheme="minorHAnsi" w:hAnsiTheme="minorHAnsi"/>
        </w:rPr>
        <w:t>.</w:t>
      </w:r>
    </w:p>
    <w:p w14:paraId="4CD69551" w14:textId="2791C9D8" w:rsidR="00F66FF0" w:rsidRDefault="00F66FF0" w:rsidP="00B8762B">
      <w:pPr>
        <w:pStyle w:val="Heading2"/>
        <w:tabs>
          <w:tab w:val="clear" w:pos="1440"/>
        </w:tabs>
        <w:ind w:left="0" w:firstLine="720"/>
        <w:rPr>
          <w:rFonts w:asciiTheme="minorHAnsi" w:hAnsiTheme="minorHAnsi"/>
        </w:rPr>
      </w:pPr>
      <w:r>
        <w:rPr>
          <w:rFonts w:asciiTheme="minorHAnsi" w:hAnsiTheme="minorHAnsi"/>
          <w:b/>
        </w:rPr>
        <w:t>Archival and Disaster Recovery</w:t>
      </w:r>
      <w:r>
        <w:rPr>
          <w:rFonts w:asciiTheme="minorHAnsi" w:hAnsiTheme="minorHAnsi"/>
        </w:rPr>
        <w:t xml:space="preserve">. Customer may make a reasonable number of copies of the On-premise Software for archival purposes and install and use the copies only when the primary copy has failed or is destroyed. Customer may also install copies of the On-premise Software in a Disaster Recovery Environment, on a cold backup basis, for use solely in disaster recovery, and not for production, development, evaluation, or testing. For purposes of the prior </w:t>
      </w:r>
      <w:r>
        <w:rPr>
          <w:rFonts w:asciiTheme="minorHAnsi" w:hAnsiTheme="minorHAnsi"/>
        </w:rPr>
        <w:lastRenderedPageBreak/>
        <w:t>sentence, cold backup basis means that the backup copies are completely disconnected from any use environment and not receiving automatic data updates, and those backup copies require a manual activation process to pick up the use environment load during the failure of the primary copies.</w:t>
      </w:r>
    </w:p>
    <w:p w14:paraId="5F2B3052" w14:textId="25FBFA74" w:rsidR="00F66FF0" w:rsidRDefault="00F66FF0" w:rsidP="00B8762B">
      <w:pPr>
        <w:pStyle w:val="Heading2"/>
        <w:tabs>
          <w:tab w:val="clear" w:pos="1440"/>
        </w:tabs>
        <w:ind w:left="0" w:firstLine="720"/>
        <w:rPr>
          <w:rFonts w:asciiTheme="minorHAnsi" w:hAnsiTheme="minorHAnsi"/>
        </w:rPr>
      </w:pPr>
      <w:r>
        <w:rPr>
          <w:rFonts w:asciiTheme="minorHAnsi" w:hAnsiTheme="minorHAnsi"/>
          <w:b/>
        </w:rPr>
        <w:t>No Unbundling</w:t>
      </w:r>
      <w:r>
        <w:rPr>
          <w:rFonts w:asciiTheme="minorHAnsi" w:hAnsiTheme="minorHAnsi"/>
        </w:rPr>
        <w:t xml:space="preserve">. The On-premise Software is designed and provided to Customer for use as a single product. Customer may not unbundle any components for use on multiple computers with in the </w:t>
      </w:r>
      <w:r>
        <w:t>Customer System</w:t>
      </w:r>
      <w:r>
        <w:rPr>
          <w:rFonts w:asciiTheme="minorHAnsi" w:hAnsiTheme="minorHAnsi"/>
        </w:rPr>
        <w:t>.</w:t>
      </w:r>
    </w:p>
    <w:p w14:paraId="7387A2B4" w14:textId="721C6577" w:rsidR="00034CD6" w:rsidRPr="00F66FF0" w:rsidRDefault="00F66FF0" w:rsidP="00B8762B">
      <w:pPr>
        <w:pStyle w:val="Heading1"/>
        <w:numPr>
          <w:ilvl w:val="0"/>
          <w:numId w:val="0"/>
        </w:numPr>
        <w:ind w:firstLine="720"/>
        <w:rPr>
          <w:b w:val="0"/>
        </w:rPr>
      </w:pPr>
      <w:r w:rsidRPr="00F66FF0">
        <w:rPr>
          <w:rFonts w:asciiTheme="minorHAnsi" w:hAnsiTheme="minorHAnsi"/>
          <w:b w:val="0"/>
        </w:rPr>
        <w:t>2.5</w:t>
      </w:r>
      <w:r w:rsidRPr="00F66FF0">
        <w:rPr>
          <w:rFonts w:asciiTheme="minorHAnsi" w:hAnsiTheme="minorHAnsi"/>
          <w:b w:val="0"/>
        </w:rPr>
        <w:tab/>
      </w:r>
      <w:r w:rsidRPr="00F66FF0">
        <w:rPr>
          <w:rFonts w:asciiTheme="minorHAnsi" w:hAnsiTheme="minorHAnsi"/>
        </w:rPr>
        <w:t>Prohibited Use</w:t>
      </w:r>
      <w:r w:rsidRPr="00F66FF0">
        <w:rPr>
          <w:rFonts w:asciiTheme="minorHAnsi" w:hAnsiTheme="minorHAnsi"/>
          <w:b w:val="0"/>
        </w:rPr>
        <w:t>. Except a</w:t>
      </w:r>
      <w:r w:rsidR="00031F69">
        <w:rPr>
          <w:rFonts w:asciiTheme="minorHAnsi" w:hAnsiTheme="minorHAnsi"/>
          <w:b w:val="0"/>
        </w:rPr>
        <w:t>s expressly permitted under the</w:t>
      </w:r>
      <w:r w:rsidRPr="00F66FF0">
        <w:rPr>
          <w:rFonts w:asciiTheme="minorHAnsi" w:hAnsiTheme="minorHAnsi"/>
          <w:b w:val="0"/>
        </w:rPr>
        <w:t xml:space="preserve"> Agreement, Customer must not: (A) use the On-premise Software on behalf of any third party; (B) grant any rights in the On-premise Software on a membership or subscription basis; or (C) offer, use or permit the use of the On-premise Software in a computer service business, third-party outsourcing service, on a service bureau basis, on a time-sharing basis, or as part of a hosted service.</w:t>
      </w:r>
    </w:p>
    <w:p w14:paraId="5078A89F" w14:textId="77777777" w:rsidR="00F66FF0" w:rsidRDefault="00F66FF0" w:rsidP="00F66FF0">
      <w:pPr>
        <w:pStyle w:val="Heading1"/>
        <w:rPr>
          <w:rFonts w:asciiTheme="minorHAnsi" w:hAnsiTheme="minorHAnsi"/>
          <w:b w:val="0"/>
        </w:rPr>
      </w:pPr>
      <w:r>
        <w:rPr>
          <w:rFonts w:asciiTheme="minorHAnsi" w:hAnsiTheme="minorHAnsi"/>
        </w:rPr>
        <w:t>UPDATE REQUIREMENTS</w:t>
      </w:r>
    </w:p>
    <w:p w14:paraId="3FE9C928" w14:textId="2E661051" w:rsidR="00F66FF0" w:rsidRDefault="00F66FF0" w:rsidP="00B8762B">
      <w:pPr>
        <w:pStyle w:val="Heading2"/>
        <w:tabs>
          <w:tab w:val="clear" w:pos="1440"/>
        </w:tabs>
        <w:ind w:left="0" w:firstLine="720"/>
        <w:rPr>
          <w:rFonts w:asciiTheme="minorHAnsi" w:hAnsiTheme="minorHAnsi"/>
        </w:rPr>
      </w:pPr>
      <w:r>
        <w:rPr>
          <w:rFonts w:asciiTheme="minorHAnsi" w:hAnsiTheme="minorHAnsi"/>
        </w:rPr>
        <w:t xml:space="preserve">If the On-premise Software is an upgrade or update to a previous version of the On-premise Software, Customer must possess a valid subscription to the previous version to use the upgrade or update. All upgrades and updates are provided to Customer on an exchange </w:t>
      </w:r>
      <w:r w:rsidR="00031F69">
        <w:rPr>
          <w:rFonts w:asciiTheme="minorHAnsi" w:hAnsiTheme="minorHAnsi"/>
        </w:rPr>
        <w:t>basis, which means, subject to S</w:t>
      </w:r>
      <w:r>
        <w:rPr>
          <w:rFonts w:asciiTheme="minorHAnsi" w:hAnsiTheme="minorHAnsi"/>
        </w:rPr>
        <w:t xml:space="preserve">ection 3.2 </w:t>
      </w:r>
      <w:r w:rsidR="00031F69">
        <w:rPr>
          <w:rFonts w:asciiTheme="minorHAnsi" w:hAnsiTheme="minorHAnsi"/>
        </w:rPr>
        <w:t>of the Subscription Agreement</w:t>
      </w:r>
      <w:r>
        <w:rPr>
          <w:rFonts w:asciiTheme="minorHAnsi" w:hAnsiTheme="minorHAnsi"/>
        </w:rPr>
        <w:t xml:space="preserve">, Customer must, upon installing the upgrade or update, uninstall and cease using the previous version of the On-premise Software. Notwithstanding anything to the contrary in this Agreement, such upgrades and updates constitute On-premise Software, and </w:t>
      </w:r>
      <w:r w:rsidR="00031F69">
        <w:rPr>
          <w:rFonts w:asciiTheme="minorHAnsi" w:hAnsiTheme="minorHAnsi"/>
        </w:rPr>
        <w:t>are subject to the terms of the</w:t>
      </w:r>
      <w:r>
        <w:rPr>
          <w:rFonts w:asciiTheme="minorHAnsi" w:hAnsiTheme="minorHAnsi"/>
        </w:rPr>
        <w:t xml:space="preserve"> Agreement.</w:t>
      </w:r>
    </w:p>
    <w:p w14:paraId="457D4B34" w14:textId="06D6E4DE" w:rsidR="00F66FF0" w:rsidRPr="00F66FF0" w:rsidRDefault="00F66FF0" w:rsidP="00B8762B">
      <w:pPr>
        <w:pStyle w:val="Heading1"/>
        <w:numPr>
          <w:ilvl w:val="0"/>
          <w:numId w:val="0"/>
        </w:numPr>
        <w:ind w:firstLine="720"/>
        <w:rPr>
          <w:b w:val="0"/>
        </w:rPr>
      </w:pPr>
      <w:r w:rsidRPr="00F66FF0">
        <w:rPr>
          <w:rFonts w:asciiTheme="minorHAnsi" w:hAnsiTheme="minorHAnsi"/>
          <w:b w:val="0"/>
        </w:rPr>
        <w:t>3.2</w:t>
      </w:r>
      <w:r w:rsidRPr="00F66FF0">
        <w:rPr>
          <w:rFonts w:asciiTheme="minorHAnsi" w:hAnsiTheme="minorHAnsi"/>
          <w:b w:val="0"/>
        </w:rPr>
        <w:tab/>
        <w:t>Upon installing an upgrade or update, Customer may continue to use a simultaneous installation of the previous version of the On-premise Software to assist Customer in the transition to the upgrade or update for a reasonable period of time (not to exceed 180 days), after which Customer must uninstall and cease using the previous version. Except for this limited right to simultaneous installation and use, this right does not otherwise constitute an increase in the scope of use granted to Customer under this Agreement.</w:t>
      </w:r>
    </w:p>
    <w:p w14:paraId="1A905D26" w14:textId="7EBA207D" w:rsidR="000E1652" w:rsidRDefault="000E1652" w:rsidP="000E1652">
      <w:pPr>
        <w:pStyle w:val="Heading1"/>
      </w:pPr>
      <w:r>
        <w:t>PAYMENT OF FEES</w:t>
      </w:r>
    </w:p>
    <w:p w14:paraId="62A866F6" w14:textId="77777777" w:rsidR="00315D4F" w:rsidRDefault="002B5EC3" w:rsidP="00B8762B">
      <w:pPr>
        <w:pStyle w:val="Heading2"/>
        <w:tabs>
          <w:tab w:val="clear" w:pos="1440"/>
        </w:tabs>
        <w:ind w:left="0" w:firstLine="720"/>
        <w:rPr>
          <w:rFonts w:asciiTheme="minorHAnsi" w:hAnsiTheme="minorHAnsi"/>
        </w:rPr>
      </w:pPr>
      <w:r>
        <w:rPr>
          <w:b/>
        </w:rPr>
        <w:t xml:space="preserve">Payment.  </w:t>
      </w:r>
      <w:r>
        <w:t>Customer must pay the fees according to the payment terms in the SOW</w:t>
      </w:r>
      <w:r>
        <w:rPr>
          <w:b/>
        </w:rPr>
        <w:t xml:space="preserve">.  </w:t>
      </w:r>
      <w:r>
        <w:t xml:space="preserve">All invoices will </w:t>
      </w:r>
      <w:r>
        <w:rPr>
          <w:rFonts w:asciiTheme="minorHAnsi" w:hAnsiTheme="minorHAnsi"/>
        </w:rPr>
        <w:t xml:space="preserve">only be delivered electronically to Customer.  WorkFusion may charge interest at a monthly rate equal to the lesser of 1% per month or the maximum rate permitted by applicable law on any overdue fees, from the due date until the date the overdue amount (plus applicable interest) is paid in full.  Any fees that are unpaid as of the date of termination or expiration will be immediately due and payable.  Customer must provide a detailed remittance advice with each payment to WorkFusion via email to </w:t>
      </w:r>
      <w:r>
        <w:rPr>
          <w:rFonts w:asciiTheme="minorHAnsi" w:hAnsiTheme="minorHAnsi"/>
          <w:u w:val="single"/>
        </w:rPr>
        <w:t>ar@WorkFusion.com</w:t>
      </w:r>
      <w:r>
        <w:rPr>
          <w:rFonts w:asciiTheme="minorHAnsi" w:hAnsiTheme="minorHAnsi"/>
        </w:rPr>
        <w:t xml:space="preserve"> no later than the date of the payment.  If Customer is not a publicly-traded corporation, upon WorkFusion’s request, Customer will provide the necessary financial documents to allow WorkFusion to ascertain the credit-worthiness of Customer.</w:t>
      </w:r>
    </w:p>
    <w:p w14:paraId="7182E353" w14:textId="4527D4A3" w:rsidR="00315D4F" w:rsidRDefault="002B5EC3" w:rsidP="00B8762B">
      <w:pPr>
        <w:pStyle w:val="Heading2"/>
        <w:tabs>
          <w:tab w:val="clear" w:pos="1440"/>
        </w:tabs>
        <w:ind w:left="0" w:firstLine="720"/>
        <w:rPr>
          <w:rFonts w:asciiTheme="minorHAnsi" w:hAnsiTheme="minorHAnsi"/>
        </w:rPr>
      </w:pPr>
      <w:r>
        <w:rPr>
          <w:b/>
        </w:rPr>
        <w:t xml:space="preserve">Failure to Pay.  </w:t>
      </w:r>
      <w:r>
        <w:t xml:space="preserve">If Customer fails to pay any amount due under this Agreement, </w:t>
      </w:r>
      <w:r>
        <w:rPr>
          <w:rFonts w:asciiTheme="minorHAnsi" w:hAnsiTheme="minorHAnsi"/>
        </w:rPr>
        <w:t>WorkFusion</w:t>
      </w:r>
      <w:r>
        <w:t xml:space="preserve"> will send Customer </w:t>
      </w:r>
      <w:r>
        <w:rPr>
          <w:rFonts w:asciiTheme="minorHAnsi" w:hAnsiTheme="minorHAnsi"/>
        </w:rPr>
        <w:t xml:space="preserve">a reminder notice.  If Customer fails to pay within 15 days of the </w:t>
      </w:r>
      <w:r>
        <w:rPr>
          <w:rFonts w:asciiTheme="minorHAnsi" w:hAnsiTheme="minorHAnsi"/>
        </w:rPr>
        <w:lastRenderedPageBreak/>
        <w:t>date of the reminder notice, WorkFusion may, in its</w:t>
      </w:r>
      <w:r w:rsidR="00507F88">
        <w:rPr>
          <w:rFonts w:asciiTheme="minorHAnsi" w:hAnsiTheme="minorHAnsi"/>
        </w:rPr>
        <w:t xml:space="preserve"> sole discretion, terminate this Subscription</w:t>
      </w:r>
      <w:r>
        <w:rPr>
          <w:rFonts w:asciiTheme="minorHAnsi" w:hAnsiTheme="minorHAnsi"/>
        </w:rPr>
        <w:t xml:space="preserve"> Agreement or the applicable SOW or suspend or restrict provision of the Products and Services.</w:t>
      </w:r>
    </w:p>
    <w:p w14:paraId="4557DFF0" w14:textId="77777777" w:rsidR="00315D4F" w:rsidRDefault="002B5EC3" w:rsidP="00B8762B">
      <w:pPr>
        <w:pStyle w:val="Heading2"/>
        <w:tabs>
          <w:tab w:val="clear" w:pos="1440"/>
        </w:tabs>
        <w:ind w:left="90" w:firstLine="630"/>
        <w:rPr>
          <w:rFonts w:asciiTheme="minorHAnsi" w:hAnsiTheme="minorHAnsi"/>
        </w:rPr>
      </w:pPr>
      <w:r>
        <w:rPr>
          <w:b/>
        </w:rPr>
        <w:t xml:space="preserve">Disputes.  </w:t>
      </w:r>
      <w:r>
        <w:t xml:space="preserve">If Customer believes in good faith that </w:t>
      </w:r>
      <w:r>
        <w:rPr>
          <w:rFonts w:asciiTheme="minorHAnsi" w:hAnsiTheme="minorHAnsi"/>
        </w:rPr>
        <w:t>WorkFusion</w:t>
      </w:r>
      <w:r>
        <w:t xml:space="preserve"> has incorrectly billed Customer, Customer must </w:t>
      </w:r>
      <w:r>
        <w:rPr>
          <w:rFonts w:asciiTheme="minorHAnsi" w:hAnsiTheme="minorHAnsi"/>
        </w:rPr>
        <w:t>contact WorkFusion in writing within 30 days of the invoice date, specifying the error. Unless Customer has correctly notified WorkFusion of the dispute, Customer must reimburse WorkFusion’s reasonable collection costs.  Customer must pay the undisputed portions of WorkFusion’s invoice as required by this Agreement.</w:t>
      </w:r>
    </w:p>
    <w:p w14:paraId="5736CC88" w14:textId="3C21DE05" w:rsidR="00315D4F" w:rsidRDefault="002B5EC3" w:rsidP="00B8762B">
      <w:pPr>
        <w:pStyle w:val="Heading2"/>
        <w:tabs>
          <w:tab w:val="clear" w:pos="1440"/>
        </w:tabs>
        <w:ind w:left="90" w:firstLine="630"/>
        <w:rPr>
          <w:rFonts w:asciiTheme="minorHAnsi" w:hAnsiTheme="minorHAnsi"/>
        </w:rPr>
      </w:pPr>
      <w:r>
        <w:rPr>
          <w:b/>
        </w:rPr>
        <w:t>Taxes.</w:t>
      </w:r>
      <w:r>
        <w:t xml:space="preserve">  Prices do not include applicable taxes.  </w:t>
      </w:r>
      <w:r>
        <w:rPr>
          <w:rFonts w:asciiTheme="minorHAnsi" w:hAnsiTheme="minorHAnsi"/>
        </w:rPr>
        <w:t>WorkFusion will invoice Customer for any applicable taxes, and Customer must pay these taxes.  Where applicable, Customer must provide a tax-exemption claim to WorkFusion before placing an order.</w:t>
      </w:r>
    </w:p>
    <w:p w14:paraId="6C516F25" w14:textId="77777777" w:rsidR="00315D4F" w:rsidRDefault="002B5EC3">
      <w:pPr>
        <w:pStyle w:val="Heading1"/>
      </w:pPr>
      <w:r>
        <w:t>DELIVERY</w:t>
      </w:r>
    </w:p>
    <w:p w14:paraId="0B21D44F" w14:textId="03A2719A" w:rsidR="00315D4F" w:rsidRDefault="00F66FF0" w:rsidP="00B8762B">
      <w:pPr>
        <w:pStyle w:val="5indent"/>
        <w:ind w:left="0" w:firstLine="720"/>
      </w:pPr>
      <w:r>
        <w:t xml:space="preserve">The </w:t>
      </w:r>
      <w:r w:rsidR="002B5EC3">
        <w:t xml:space="preserve">On-premise Software is deemed to be delivered and accepted by Customer on the date the On-premise Software is made available for electronic download.  </w:t>
      </w:r>
    </w:p>
    <w:p w14:paraId="2BDA8389" w14:textId="77777777" w:rsidR="00315D4F" w:rsidRDefault="002B5EC3">
      <w:pPr>
        <w:pStyle w:val="Heading1"/>
      </w:pPr>
      <w:r>
        <w:t>OUTSOURCING AND THIRD-PARTY ACCESS</w:t>
      </w:r>
    </w:p>
    <w:p w14:paraId="78F4F861" w14:textId="77777777" w:rsidR="00315D4F" w:rsidRDefault="002B5EC3" w:rsidP="00B8762B">
      <w:pPr>
        <w:pStyle w:val="Heading2"/>
        <w:tabs>
          <w:tab w:val="clear" w:pos="1440"/>
        </w:tabs>
        <w:ind w:left="0" w:firstLine="720"/>
        <w:rPr>
          <w:rFonts w:asciiTheme="minorHAnsi" w:hAnsiTheme="minorHAnsi"/>
        </w:rPr>
      </w:pPr>
      <w:r>
        <w:rPr>
          <w:b/>
        </w:rPr>
        <w:t>Use by Affiliates.</w:t>
      </w:r>
      <w:r>
        <w:t xml:space="preserve">  Customer may allow its Affiliates to use and access the Products and Services, only if, and </w:t>
      </w:r>
      <w:r>
        <w:rPr>
          <w:rFonts w:asciiTheme="minorHAnsi" w:hAnsiTheme="minorHAnsi"/>
        </w:rPr>
        <w:t>as specified in, a SOW.</w:t>
      </w:r>
    </w:p>
    <w:p w14:paraId="68E9AABB" w14:textId="77777777" w:rsidR="00315D4F" w:rsidRDefault="002B5EC3" w:rsidP="00B8762B">
      <w:pPr>
        <w:pStyle w:val="Heading2"/>
        <w:tabs>
          <w:tab w:val="clear" w:pos="1440"/>
        </w:tabs>
        <w:ind w:left="0" w:firstLine="720"/>
        <w:rPr>
          <w:rFonts w:asciiTheme="minorHAnsi" w:hAnsiTheme="minorHAnsi"/>
        </w:rPr>
      </w:pPr>
      <w:r>
        <w:rPr>
          <w:b/>
        </w:rPr>
        <w:t xml:space="preserve">Outsourcing and Third-Party Access. </w:t>
      </w:r>
      <w:r>
        <w:t xml:space="preserve"> Customer may allow a third-party contractor to use and access the </w:t>
      </w:r>
      <w:r>
        <w:rPr>
          <w:rFonts w:asciiTheme="minorHAnsi" w:hAnsiTheme="minorHAnsi"/>
        </w:rPr>
        <w:t>Products and Services solely to operate the Products and Services on Customer’s behalf, but only if:</w:t>
      </w:r>
    </w:p>
    <w:p w14:paraId="6747ADC2" w14:textId="77777777" w:rsidR="00315D4F" w:rsidRDefault="002B5EC3" w:rsidP="00B8762B">
      <w:pPr>
        <w:pStyle w:val="Heading3"/>
        <w:tabs>
          <w:tab w:val="clear" w:pos="2160"/>
        </w:tabs>
        <w:ind w:left="720" w:firstLine="720"/>
      </w:pPr>
      <w:r>
        <w:t xml:space="preserve">upon </w:t>
      </w:r>
      <w:r>
        <w:rPr>
          <w:rFonts w:asciiTheme="minorHAnsi" w:hAnsiTheme="minorHAnsi"/>
        </w:rPr>
        <w:t>WorkFusion</w:t>
      </w:r>
      <w:r>
        <w:t xml:space="preserve">’s request, Customer provides </w:t>
      </w:r>
      <w:r>
        <w:rPr>
          <w:rFonts w:asciiTheme="minorHAnsi" w:hAnsiTheme="minorHAnsi"/>
        </w:rPr>
        <w:t>WorkFusion</w:t>
      </w:r>
      <w:r>
        <w:t xml:space="preserve"> with the identity of the contractor and the purpose for the contractor’s use or access to the Products and Services; and</w:t>
      </w:r>
    </w:p>
    <w:p w14:paraId="43E1E5E9" w14:textId="77777777" w:rsidR="00315D4F" w:rsidRDefault="002B5EC3" w:rsidP="00B8762B">
      <w:pPr>
        <w:pStyle w:val="Heading3"/>
        <w:tabs>
          <w:tab w:val="clear" w:pos="2160"/>
        </w:tabs>
        <w:ind w:left="720" w:firstLine="720"/>
        <w:rPr>
          <w:rFonts w:asciiTheme="minorHAnsi" w:hAnsiTheme="minorHAnsi"/>
        </w:rPr>
      </w:pPr>
      <w:r>
        <w:t>the use or access by the contractor is only for Customer’s internal operations.</w:t>
      </w:r>
      <w:r>
        <w:rPr>
          <w:rFonts w:asciiTheme="minorHAnsi" w:hAnsiTheme="minorHAnsi"/>
        </w:rPr>
        <w:t xml:space="preserve"> </w:t>
      </w:r>
    </w:p>
    <w:p w14:paraId="4C3DEDD7" w14:textId="3F46C86C" w:rsidR="00315D4F" w:rsidRDefault="002B5EC3" w:rsidP="00B8762B">
      <w:pPr>
        <w:pStyle w:val="Heading2"/>
        <w:tabs>
          <w:tab w:val="clear" w:pos="1440"/>
        </w:tabs>
        <w:ind w:left="0" w:firstLine="720"/>
      </w:pPr>
      <w:r>
        <w:rPr>
          <w:b/>
        </w:rPr>
        <w:t>Customer Responsibility.</w:t>
      </w:r>
      <w:r>
        <w:t xml:space="preserve">  If Customer allows any person or entity to use or access the Products</w:t>
      </w:r>
      <w:r w:rsidR="00052FD3">
        <w:t xml:space="preserve"> and Services, including under S</w:t>
      </w:r>
      <w:r>
        <w:t xml:space="preserve">ections </w:t>
      </w:r>
      <w:r w:rsidR="00B8762B">
        <w:t>6</w:t>
      </w:r>
      <w:r>
        <w:t xml:space="preserve">.1 (Use by Affiliates) or </w:t>
      </w:r>
      <w:r w:rsidR="00B8762B">
        <w:t>6</w:t>
      </w:r>
      <w:r>
        <w:t>.2 (Outsourcing and Third-Party Access):</w:t>
      </w:r>
    </w:p>
    <w:p w14:paraId="7EDA34E8" w14:textId="5F756D7D" w:rsidR="00315D4F" w:rsidRDefault="002B5EC3" w:rsidP="00B8762B">
      <w:pPr>
        <w:pStyle w:val="Heading3"/>
        <w:tabs>
          <w:tab w:val="clear" w:pos="2160"/>
        </w:tabs>
        <w:ind w:left="720" w:firstLine="720"/>
      </w:pPr>
      <w:r>
        <w:t>Customer must ensure that the person or entity agrees to comply with and do</w:t>
      </w:r>
      <w:r w:rsidR="00583129">
        <w:t>es comply with the terms of the</w:t>
      </w:r>
      <w:r>
        <w:t xml:space="preserve"> Agreement on the same basis as the terms apply to Customer; and</w:t>
      </w:r>
    </w:p>
    <w:p w14:paraId="142CA663" w14:textId="77777777" w:rsidR="00315D4F" w:rsidRDefault="002B5EC3" w:rsidP="00B8762B">
      <w:pPr>
        <w:pStyle w:val="Heading3"/>
        <w:tabs>
          <w:tab w:val="clear" w:pos="2160"/>
        </w:tabs>
        <w:ind w:left="720" w:firstLine="720"/>
      </w:pPr>
      <w:r>
        <w:t>Customer is responsible for all acts and omissions of all such person or entity.</w:t>
      </w:r>
    </w:p>
    <w:p w14:paraId="0FF7F26B" w14:textId="1EE2ED35" w:rsidR="00315D4F" w:rsidRDefault="002B5EC3" w:rsidP="00B8762B">
      <w:pPr>
        <w:pStyle w:val="Heading2"/>
        <w:tabs>
          <w:tab w:val="clear" w:pos="1440"/>
        </w:tabs>
        <w:ind w:left="0" w:firstLine="720"/>
      </w:pPr>
      <w:r>
        <w:rPr>
          <w:b/>
        </w:rPr>
        <w:t>No Additional Rights.</w:t>
      </w:r>
      <w:r>
        <w:t xml:space="preserve">  For clarity,</w:t>
      </w:r>
      <w:r w:rsidR="00052FD3">
        <w:t xml:space="preserve"> the rights granted under this S</w:t>
      </w:r>
      <w:r>
        <w:t xml:space="preserve">ection </w:t>
      </w:r>
      <w:r w:rsidR="00583129">
        <w:t>6</w:t>
      </w:r>
      <w:r>
        <w:t xml:space="preserve"> (Outsourcing and Third-Party Access) do not modify the type of subscription described in a SOW.</w:t>
      </w:r>
    </w:p>
    <w:p w14:paraId="361BAD2B" w14:textId="1FB50EA2" w:rsidR="00315D4F" w:rsidRDefault="002B5EC3" w:rsidP="00B8762B">
      <w:pPr>
        <w:pStyle w:val="Heading2"/>
        <w:tabs>
          <w:tab w:val="clear" w:pos="1440"/>
        </w:tabs>
        <w:ind w:left="0" w:firstLine="720"/>
      </w:pPr>
      <w:r>
        <w:rPr>
          <w:b/>
        </w:rPr>
        <w:lastRenderedPageBreak/>
        <w:t>Subcontractors</w:t>
      </w:r>
      <w:r>
        <w:t>.  WorkFusion may from time to time in its discretion engage Subcontractors to perform Services so long as such Subcontractors are bound by written confidentiality and restricted use obligations at least as protective of the Confidential Informa</w:t>
      </w:r>
      <w:r w:rsidR="00052FD3">
        <w:t>tion as the terms set forth in S</w:t>
      </w:r>
      <w:r>
        <w:t xml:space="preserve">ection </w:t>
      </w:r>
      <w:r w:rsidR="00583129">
        <w:t>7</w:t>
      </w:r>
      <w:r>
        <w:t xml:space="preserve"> (Confidentiality).  WorkFusion shall not permit Subcontractors to access Customer Systems without Customer's consent.</w:t>
      </w:r>
    </w:p>
    <w:p w14:paraId="5ECF0A3C" w14:textId="77777777" w:rsidR="00315D4F" w:rsidRDefault="002B5EC3">
      <w:pPr>
        <w:pStyle w:val="Heading1"/>
      </w:pPr>
      <w:r>
        <w:t>CONFIDENTIALITY</w:t>
      </w:r>
    </w:p>
    <w:p w14:paraId="47C881CE" w14:textId="77777777" w:rsidR="00315D4F" w:rsidRDefault="002B5EC3" w:rsidP="00B8762B">
      <w:pPr>
        <w:pStyle w:val="Heading2"/>
        <w:tabs>
          <w:tab w:val="clear" w:pos="1440"/>
        </w:tabs>
        <w:ind w:left="0" w:firstLine="720"/>
      </w:pPr>
      <w:r>
        <w:rPr>
          <w:b/>
        </w:rPr>
        <w:t>No Use or Disclosure.</w:t>
      </w:r>
      <w:r>
        <w:t xml:space="preserve">  Recipient will only use Confidential Information for the purposes of this Agreement and will not reproduce, disseminate, or disclose Confidential Information to any person, except to its employees and authorized representatives (i.e., temporary employees, consultants, and contractors) who need to know the Confidential Information for the purposes of this Agreement and are bound by confidentiality obligations at least as restrictive as those in this section 5 (Confidentiality).  Recipient will treat all Confidential Information with at least the same degree of care as it treats its own information of similar sensitivity, but never with less than reasonable care.</w:t>
      </w:r>
    </w:p>
    <w:p w14:paraId="722885CA" w14:textId="77777777" w:rsidR="00315D4F" w:rsidRDefault="002B5EC3">
      <w:pPr>
        <w:pStyle w:val="Heading2"/>
      </w:pPr>
      <w:r>
        <w:rPr>
          <w:b/>
        </w:rPr>
        <w:t>Required Disclosure.</w:t>
      </w:r>
      <w:r>
        <w:t xml:space="preserve">  Recipient may disclose Confidential Information:</w:t>
      </w:r>
    </w:p>
    <w:p w14:paraId="17A17AF0" w14:textId="77777777" w:rsidR="00315D4F" w:rsidRDefault="002B5EC3" w:rsidP="00B8762B">
      <w:pPr>
        <w:pStyle w:val="Heading3"/>
        <w:tabs>
          <w:tab w:val="clear" w:pos="2160"/>
        </w:tabs>
        <w:ind w:left="720" w:firstLine="720"/>
      </w:pPr>
      <w:r>
        <w:t>as approved in a writing signed by Discloser;</w:t>
      </w:r>
    </w:p>
    <w:p w14:paraId="28F61A09" w14:textId="77777777" w:rsidR="00315D4F" w:rsidRDefault="002B5EC3" w:rsidP="00B8762B">
      <w:pPr>
        <w:pStyle w:val="Heading3"/>
        <w:tabs>
          <w:tab w:val="clear" w:pos="2160"/>
        </w:tabs>
        <w:ind w:left="720" w:firstLine="720"/>
      </w:pPr>
      <w:r>
        <w:t>as necessary to comply with any law or valid order of a court or other governmental body; or</w:t>
      </w:r>
    </w:p>
    <w:p w14:paraId="0451A4BD" w14:textId="77777777" w:rsidR="00315D4F" w:rsidRDefault="002B5EC3" w:rsidP="00B8762B">
      <w:pPr>
        <w:pStyle w:val="Heading3"/>
        <w:tabs>
          <w:tab w:val="clear" w:pos="2160"/>
        </w:tabs>
        <w:ind w:left="720" w:firstLine="720"/>
      </w:pPr>
      <w:r>
        <w:t>as necessary to establish the rights of either Party,</w:t>
      </w:r>
    </w:p>
    <w:p w14:paraId="4B29957D" w14:textId="66DF4851" w:rsidR="00315D4F" w:rsidRDefault="00583129" w:rsidP="00B8762B">
      <w:pPr>
        <w:pStyle w:val="15indent"/>
        <w:ind w:left="720" w:firstLine="720"/>
      </w:pPr>
      <w:r>
        <w:t>but only if, in the case of S</w:t>
      </w:r>
      <w:r w:rsidR="002B5EC3">
        <w:t xml:space="preserve">ection </w:t>
      </w:r>
      <w:r>
        <w:t>7.2(B) and S</w:t>
      </w:r>
      <w:r w:rsidR="002B5EC3">
        <w:t xml:space="preserve">ection </w:t>
      </w:r>
      <w:r>
        <w:t>7</w:t>
      </w:r>
      <w:r w:rsidR="002B5EC3">
        <w:t>.2(C), Recipient (1) promptly notifies Discloser of the details of the required disclosure; and (2) gives Discloser all assistance reasonably required by Discloser to enable Discloser to take available steps to prevent the disclosure or to ensure that disclosure occurs subject to an appropriate obligation of confidence.</w:t>
      </w:r>
    </w:p>
    <w:p w14:paraId="1558CA68" w14:textId="01C28A41" w:rsidR="00315D4F" w:rsidRDefault="002B5EC3" w:rsidP="00B8762B">
      <w:pPr>
        <w:pStyle w:val="Heading2"/>
        <w:tabs>
          <w:tab w:val="clear" w:pos="1440"/>
        </w:tabs>
        <w:ind w:left="0" w:firstLine="720"/>
      </w:pPr>
      <w:r>
        <w:rPr>
          <w:b/>
        </w:rPr>
        <w:t>Responsibility for Representatives and Affiliates.</w:t>
      </w:r>
      <w:r>
        <w:t xml:space="preserve">  Recipient is responsible for ensuring that its representatives and Affiliates fully comply with the obligatio</w:t>
      </w:r>
      <w:r w:rsidR="00052FD3">
        <w:t>ns of the Recipient under this S</w:t>
      </w:r>
      <w:r>
        <w:t xml:space="preserve">ection </w:t>
      </w:r>
      <w:r w:rsidR="00583129">
        <w:t>7</w:t>
      </w:r>
      <w:r>
        <w:t xml:space="preserve"> (Confidentiality).</w:t>
      </w:r>
    </w:p>
    <w:p w14:paraId="0A59C423" w14:textId="77777777" w:rsidR="00315D4F" w:rsidRDefault="002B5EC3">
      <w:pPr>
        <w:pStyle w:val="Heading1"/>
        <w:keepNext/>
        <w:keepLines w:val="0"/>
      </w:pPr>
      <w:r>
        <w:t>TERM AND TERMINATION</w:t>
      </w:r>
    </w:p>
    <w:p w14:paraId="30C629B7" w14:textId="77777777" w:rsidR="00315D4F" w:rsidRDefault="002B5EC3">
      <w:pPr>
        <w:pStyle w:val="Heading2"/>
        <w:rPr>
          <w:b/>
        </w:rPr>
      </w:pPr>
      <w:r>
        <w:rPr>
          <w:b/>
        </w:rPr>
        <w:t>Term.</w:t>
      </w:r>
    </w:p>
    <w:p w14:paraId="3D3B1165" w14:textId="77777777" w:rsidR="00315D4F" w:rsidRDefault="002B5EC3" w:rsidP="00B8762B">
      <w:pPr>
        <w:pStyle w:val="1indent"/>
        <w:ind w:left="0" w:firstLine="720"/>
      </w:pPr>
      <w:r>
        <w:t>This Agreement applies to each Product and Service from the Effective Date until the expiration of the applicable Subscription Period or the term for Professional Services, unless terminated earlier under this Agreement.</w:t>
      </w:r>
    </w:p>
    <w:p w14:paraId="1E172736" w14:textId="77777777" w:rsidR="00315D4F" w:rsidRDefault="002B5EC3">
      <w:pPr>
        <w:pStyle w:val="Heading2"/>
        <w:rPr>
          <w:b/>
        </w:rPr>
      </w:pPr>
      <w:r>
        <w:rPr>
          <w:b/>
        </w:rPr>
        <w:t>Termination for Cause.</w:t>
      </w:r>
    </w:p>
    <w:p w14:paraId="7947FC16" w14:textId="7077922C" w:rsidR="00315D4F" w:rsidRDefault="002B5EC3" w:rsidP="00B8762B">
      <w:pPr>
        <w:pStyle w:val="Heading3"/>
        <w:tabs>
          <w:tab w:val="clear" w:pos="2160"/>
        </w:tabs>
        <w:ind w:left="720" w:firstLine="720"/>
      </w:pPr>
      <w:r>
        <w:rPr>
          <w:b/>
        </w:rPr>
        <w:t>Material Breach by Either Party.</w:t>
      </w:r>
      <w:r>
        <w:t xml:space="preserve">  If either Party commits a material breach of this Agreement, the non-breaching Party may give written notice describing the </w:t>
      </w:r>
      <w:r>
        <w:lastRenderedPageBreak/>
        <w:t>nature and basis of the breach to the breaching Party.  If the breach is not cured within 30 days of the notice date, the non-breaching Part</w:t>
      </w:r>
      <w:r w:rsidR="00E53EE1">
        <w:t>y may immediately terminate the</w:t>
      </w:r>
      <w:r>
        <w:t xml:space="preserve"> Agreement, in whole or in part.</w:t>
      </w:r>
    </w:p>
    <w:p w14:paraId="599EBE0B" w14:textId="77777777" w:rsidR="00315D4F" w:rsidRDefault="002B5EC3" w:rsidP="00B8762B">
      <w:pPr>
        <w:pStyle w:val="Heading3"/>
        <w:tabs>
          <w:tab w:val="clear" w:pos="2160"/>
        </w:tabs>
        <w:ind w:left="720" w:firstLine="720"/>
      </w:pPr>
      <w:r>
        <w:rPr>
          <w:b/>
        </w:rPr>
        <w:t>Breach of Confidentiality Provisions.</w:t>
      </w:r>
      <w:r>
        <w:t xml:space="preserve">  If a Party is in breach of any confidentiality provisions of this Agreement, the non-breaching Party may terminate this Agreement, in whole or in part, immediately by giving the breaching Party written notice of the breach.</w:t>
      </w:r>
    </w:p>
    <w:p w14:paraId="39ED951F" w14:textId="5FC143B7" w:rsidR="00315D4F" w:rsidRDefault="002B5EC3" w:rsidP="00B8762B">
      <w:pPr>
        <w:pStyle w:val="Heading3"/>
        <w:tabs>
          <w:tab w:val="clear" w:pos="2160"/>
        </w:tabs>
        <w:ind w:left="720" w:firstLine="720"/>
      </w:pPr>
      <w:r>
        <w:rPr>
          <w:b/>
        </w:rPr>
        <w:t>Other Breaches.</w:t>
      </w:r>
      <w:r>
        <w:t xml:space="preserve">  </w:t>
      </w:r>
      <w:r>
        <w:rPr>
          <w:rFonts w:asciiTheme="minorHAnsi" w:hAnsiTheme="minorHAnsi"/>
        </w:rPr>
        <w:t>WorkFusion</w:t>
      </w:r>
      <w:r>
        <w:t xml:space="preserve"> may terminate this Agreement, in whole or in part, immediately upon written notice to Customer, if: (1) required by</w:t>
      </w:r>
      <w:r w:rsidR="005067EA">
        <w:t xml:space="preserve"> law; or (2) Customer breaches S</w:t>
      </w:r>
      <w:r>
        <w:t>ection</w:t>
      </w:r>
      <w:r w:rsidR="005067EA">
        <w:t xml:space="preserve"> </w:t>
      </w:r>
      <w:r w:rsidR="00E53EE1">
        <w:t>9.3</w:t>
      </w:r>
      <w:r w:rsidR="005067EA">
        <w:t xml:space="preserve"> (No Modifications) of this</w:t>
      </w:r>
      <w:r>
        <w:t xml:space="preserve"> </w:t>
      </w:r>
      <w:r w:rsidR="005067EA">
        <w:t>Subscription Agreement</w:t>
      </w:r>
      <w:r>
        <w:t>.</w:t>
      </w:r>
    </w:p>
    <w:p w14:paraId="6A7E9A07" w14:textId="77777777" w:rsidR="00315D4F" w:rsidRDefault="002B5EC3">
      <w:pPr>
        <w:pStyle w:val="Heading2"/>
        <w:rPr>
          <w:b/>
        </w:rPr>
      </w:pPr>
      <w:r>
        <w:rPr>
          <w:b/>
        </w:rPr>
        <w:t>Survival.</w:t>
      </w:r>
    </w:p>
    <w:p w14:paraId="15E80198" w14:textId="28E88F92" w:rsidR="00315D4F" w:rsidRDefault="002B5EC3" w:rsidP="00B8762B">
      <w:pPr>
        <w:pStyle w:val="1indent"/>
        <w:ind w:left="0" w:firstLine="720"/>
      </w:pPr>
      <w:r>
        <w:t>The termination o</w:t>
      </w:r>
      <w:r w:rsidR="00E53EE1">
        <w:t>r expiration of the</w:t>
      </w:r>
      <w:r>
        <w:t xml:space="preserve"> Agreement will n</w:t>
      </w:r>
      <w:r w:rsidR="00E53EE1">
        <w:t>ot affect any provisions of the</w:t>
      </w:r>
      <w:r>
        <w:t xml:space="preserve"> Agreement which by their nature survive termination or expiration, including the provisions that deal with the following subject matters: definitions, payment obligations, confidentiality, term and termination, effect of termination, intellectual property, compliance, indemnification, limitation of liability, privacy, and the “General Provisions” section in </w:t>
      </w:r>
      <w:r w:rsidR="005067EA">
        <w:t>this Subscription Agreement</w:t>
      </w:r>
      <w:r>
        <w:t>.</w:t>
      </w:r>
    </w:p>
    <w:p w14:paraId="0091F226" w14:textId="77777777" w:rsidR="00315D4F" w:rsidRDefault="002B5EC3">
      <w:pPr>
        <w:pStyle w:val="Heading1"/>
        <w:keepNext/>
      </w:pPr>
      <w:r>
        <w:t>INTELLECTUAL PROPERTY</w:t>
      </w:r>
    </w:p>
    <w:p w14:paraId="7A034BAE" w14:textId="77777777" w:rsidR="00315D4F" w:rsidRDefault="002B5EC3">
      <w:pPr>
        <w:pStyle w:val="Heading2"/>
      </w:pPr>
      <w:r>
        <w:rPr>
          <w:b/>
        </w:rPr>
        <w:t>Ownership.</w:t>
      </w:r>
      <w:r>
        <w:t xml:space="preserve">  </w:t>
      </w:r>
      <w:r>
        <w:rPr>
          <w:rFonts w:asciiTheme="minorHAnsi" w:hAnsiTheme="minorHAnsi"/>
        </w:rPr>
        <w:t>WorkFusion</w:t>
      </w:r>
      <w:r>
        <w:t xml:space="preserve"> and its licensors own the </w:t>
      </w:r>
      <w:r>
        <w:rPr>
          <w:rFonts w:asciiTheme="minorHAnsi" w:hAnsiTheme="minorHAnsi"/>
        </w:rPr>
        <w:t>WorkFusion</w:t>
      </w:r>
      <w:r>
        <w:t xml:space="preserve"> Technology.</w:t>
      </w:r>
    </w:p>
    <w:p w14:paraId="7904273E" w14:textId="5E452173" w:rsidR="00F66FF0" w:rsidRPr="00F66FF0" w:rsidRDefault="00F66FF0" w:rsidP="00B8762B">
      <w:pPr>
        <w:pStyle w:val="Heading2"/>
        <w:tabs>
          <w:tab w:val="clear" w:pos="1440"/>
        </w:tabs>
        <w:ind w:left="0" w:firstLine="720"/>
        <w:rPr>
          <w:rFonts w:asciiTheme="minorHAnsi" w:hAnsiTheme="minorHAnsi"/>
        </w:rPr>
      </w:pPr>
      <w:r>
        <w:rPr>
          <w:b/>
        </w:rPr>
        <w:t>Feedback</w:t>
      </w:r>
      <w:r>
        <w:t>.  WorkFusion owns all right, title and interest in and to the WorkFusion Technology and any and all software, technology, algorithms, materials, improvements, derivative works and information that is developed, created, authored, conceived, reduced to practice or acquired by WorkFusion.  WorkFusion (and its licensors, where applicable) shall exclusively own all right, title, and interest in and to any suggestions, ideas, enhancement requests, feedback, recommendations, or other information provided by Customer or any other party relating to WorkFusion Technology, including all intellectual property rights related thereto.  For the avoidance of doubt, WorkFusion claims no ownership of the Customer Data and Customer shall at all times (as between the parties) retain all of its right, title and interest therein and thereto.  Nothing in this Agreement shall be construed to transfer ownership of any intellectual property rights of either party to the other.</w:t>
      </w:r>
    </w:p>
    <w:p w14:paraId="6B7B5509" w14:textId="5D1490CE" w:rsidR="00315D4F" w:rsidRDefault="002B5EC3" w:rsidP="00B8762B">
      <w:pPr>
        <w:pStyle w:val="Heading2"/>
        <w:tabs>
          <w:tab w:val="clear" w:pos="1440"/>
        </w:tabs>
        <w:ind w:left="90" w:firstLine="630"/>
        <w:rPr>
          <w:rFonts w:asciiTheme="minorHAnsi" w:hAnsiTheme="minorHAnsi"/>
        </w:rPr>
      </w:pPr>
      <w:r>
        <w:rPr>
          <w:b/>
        </w:rPr>
        <w:t>No Modifications.</w:t>
      </w:r>
      <w:r>
        <w:t xml:space="preserve">  Customer must not modify, create derivative works of, adapt, translate, reverse </w:t>
      </w:r>
      <w:r>
        <w:rPr>
          <w:rFonts w:asciiTheme="minorHAnsi" w:hAnsiTheme="minorHAnsi"/>
        </w:rPr>
        <w:t>engineer, decompile, disassemble, or otherwise attempt to discover the source code in, any WorkFusion Technology.  These restrictions will not apply to the extent they limit any non-waivable right Customer may enjoy under applicable law.</w:t>
      </w:r>
    </w:p>
    <w:p w14:paraId="15127BD1" w14:textId="77777777" w:rsidR="00F66FF0" w:rsidRDefault="00F66FF0" w:rsidP="00F66FF0">
      <w:pPr>
        <w:pStyle w:val="Heading1"/>
        <w:rPr>
          <w:rFonts w:asciiTheme="minorHAnsi" w:hAnsiTheme="minorHAnsi"/>
          <w:b w:val="0"/>
        </w:rPr>
      </w:pPr>
      <w:r>
        <w:rPr>
          <w:rFonts w:asciiTheme="minorHAnsi" w:hAnsiTheme="minorHAnsi"/>
        </w:rPr>
        <w:t>LIMITED WARRANTY; REMEDIES</w:t>
      </w:r>
    </w:p>
    <w:p w14:paraId="5C70327C" w14:textId="7BCC0624" w:rsidR="00F66FF0" w:rsidRPr="00F66FF0" w:rsidRDefault="00F66FF0" w:rsidP="00B8762B">
      <w:pPr>
        <w:pStyle w:val="Heading1"/>
        <w:keepNext/>
        <w:keepLines w:val="0"/>
        <w:numPr>
          <w:ilvl w:val="0"/>
          <w:numId w:val="0"/>
        </w:numPr>
        <w:ind w:firstLine="720"/>
        <w:rPr>
          <w:b w:val="0"/>
        </w:rPr>
      </w:pPr>
      <w:r w:rsidRPr="00F66FF0">
        <w:rPr>
          <w:rFonts w:asciiTheme="minorHAnsi" w:hAnsiTheme="minorHAnsi"/>
          <w:b w:val="0"/>
        </w:rPr>
        <w:t xml:space="preserve">WorkFusion warrants to Customer that the On-premise Software will perform substantially in accordance with the Documentation for 90 days following the delivery of the On-premise Software. This limited warranty only applies to On-premise Software that consists of Indemnified Technology. Customer must make these warranty claims to WorkFusion within this 90-day period. </w:t>
      </w:r>
      <w:r w:rsidRPr="00F66FF0">
        <w:rPr>
          <w:rFonts w:asciiTheme="minorHAnsi" w:hAnsiTheme="minorHAnsi"/>
          <w:b w:val="0"/>
        </w:rPr>
        <w:lastRenderedPageBreak/>
        <w:t>To the extent permitted by law, Customer’s sole and exclusive remedy and WorkFusion’s sole liability under or in connection with this warranty will be limited, at WorkFusion’s option, to (A) replacement of the On-premise Software; or (B) refund of the fees Customer paid for the On-premise Software.</w:t>
      </w:r>
    </w:p>
    <w:p w14:paraId="757A2530" w14:textId="09ECCC8F" w:rsidR="00315D4F" w:rsidRDefault="002B5EC3">
      <w:pPr>
        <w:pStyle w:val="Heading1"/>
        <w:keepNext/>
        <w:keepLines w:val="0"/>
      </w:pPr>
      <w:r>
        <w:t>INDEMNIFICATION</w:t>
      </w:r>
    </w:p>
    <w:p w14:paraId="69F1AA6E" w14:textId="77777777" w:rsidR="00315D4F" w:rsidRDefault="002B5EC3" w:rsidP="00B8762B">
      <w:pPr>
        <w:pStyle w:val="Heading2"/>
        <w:tabs>
          <w:tab w:val="clear" w:pos="1440"/>
        </w:tabs>
        <w:ind w:left="0" w:firstLine="720"/>
        <w:rPr>
          <w:rFonts w:asciiTheme="minorHAnsi" w:hAnsiTheme="minorHAnsi"/>
        </w:rPr>
      </w:pPr>
      <w:r>
        <w:rPr>
          <w:b/>
        </w:rPr>
        <w:t>WorkFusion’s Duty to Indemnify.</w:t>
      </w:r>
      <w:r>
        <w:t xml:space="preserve">  </w:t>
      </w:r>
      <w:r>
        <w:rPr>
          <w:b/>
        </w:rPr>
        <w:t>WorkFusion</w:t>
      </w:r>
      <w:r>
        <w:t xml:space="preserve"> will defend any third-party Claim against Customer during the Subscription Period</w:t>
      </w:r>
      <w:r>
        <w:rPr>
          <w:rFonts w:asciiTheme="minorHAnsi" w:hAnsiTheme="minorHAnsi"/>
        </w:rPr>
        <w:t xml:space="preserve"> to the extent the Claim alleges that (A) the Indemnified Technology directly infringes the third party’s patent, copyright, or trademark; or that (B) WorkFusion has misappropriated the third party’s trade secret (“Infringement Claim”).  WorkFusion will pay Customer the Losses that are directly attributable to an Infringement Claim and are either finally awarded by a court of competent jurisdiction against Customer or agreed to in a written settlement agreement signed by WorkFusion.</w:t>
      </w:r>
    </w:p>
    <w:p w14:paraId="772431DF" w14:textId="77777777" w:rsidR="00315D4F" w:rsidRDefault="002B5EC3" w:rsidP="00C72B44">
      <w:pPr>
        <w:pStyle w:val="Heading2"/>
        <w:tabs>
          <w:tab w:val="clear" w:pos="1440"/>
        </w:tabs>
        <w:ind w:left="0" w:firstLine="720"/>
        <w:rPr>
          <w:rFonts w:asciiTheme="minorHAnsi" w:hAnsiTheme="minorHAnsi"/>
        </w:rPr>
      </w:pPr>
      <w:r>
        <w:rPr>
          <w:b/>
        </w:rPr>
        <w:t>WorkFusion’s Response.</w:t>
      </w:r>
      <w:r>
        <w:t xml:space="preserve">  In the defense or settlement of any Infringement Claim, WorkFusion may, at its sole option </w:t>
      </w:r>
      <w:r>
        <w:rPr>
          <w:rFonts w:asciiTheme="minorHAnsi" w:hAnsiTheme="minorHAnsi"/>
        </w:rPr>
        <w:t>and expense:</w:t>
      </w:r>
    </w:p>
    <w:p w14:paraId="429A3824" w14:textId="77777777" w:rsidR="00315D4F" w:rsidRDefault="002B5EC3" w:rsidP="00C72B44">
      <w:pPr>
        <w:pStyle w:val="Heading3"/>
        <w:tabs>
          <w:tab w:val="clear" w:pos="2160"/>
        </w:tabs>
        <w:ind w:left="720" w:firstLine="720"/>
      </w:pPr>
      <w:r>
        <w:t>procure for Customer a license to continue using the Indemnified Technology under the terms of this Agreement;</w:t>
      </w:r>
    </w:p>
    <w:p w14:paraId="316887EF" w14:textId="77777777" w:rsidR="00315D4F" w:rsidRDefault="002B5EC3" w:rsidP="00C72B44">
      <w:pPr>
        <w:pStyle w:val="Heading3"/>
        <w:tabs>
          <w:tab w:val="clear" w:pos="2160"/>
        </w:tabs>
        <w:ind w:left="720" w:firstLine="720"/>
      </w:pPr>
      <w:r>
        <w:t>replace or modify the allegedly infringing Indemnified Technology to avoid the infringement; or</w:t>
      </w:r>
    </w:p>
    <w:p w14:paraId="38A7CFC1" w14:textId="3A36E29D" w:rsidR="00315D4F" w:rsidRDefault="002B5EC3" w:rsidP="00C72B44">
      <w:pPr>
        <w:pStyle w:val="Heading3"/>
        <w:tabs>
          <w:tab w:val="clear" w:pos="2160"/>
        </w:tabs>
        <w:ind w:left="720" w:firstLine="720"/>
      </w:pPr>
      <w:r>
        <w:t>terminate Customer’s right to use and access to the Indemnified Technology (or its infringing part) and refund</w:t>
      </w:r>
      <w:r w:rsidR="000A3A31">
        <w:t xml:space="preserve"> </w:t>
      </w:r>
      <w:r>
        <w:t>any prepaid</w:t>
      </w:r>
      <w:r w:rsidR="00447859">
        <w:t>,</w:t>
      </w:r>
      <w:r>
        <w:t xml:space="preserve"> unused fees a</w:t>
      </w:r>
      <w:r w:rsidR="000A3A31">
        <w:t xml:space="preserve">s of the date of termination, </w:t>
      </w:r>
      <w:r>
        <w:t>but only if Customer purges all copies of the On-premise Software (and any related materials) from all computer systems on which it was stored and returns to WorkFusion all physical copies of the On-premise Software and related materials.</w:t>
      </w:r>
    </w:p>
    <w:p w14:paraId="18D9FB47" w14:textId="77777777" w:rsidR="00315D4F" w:rsidRDefault="002B5EC3">
      <w:pPr>
        <w:pStyle w:val="Heading2"/>
      </w:pPr>
      <w:r>
        <w:rPr>
          <w:b/>
        </w:rPr>
        <w:t>Conditions to Indemnification.</w:t>
      </w:r>
      <w:r>
        <w:t xml:space="preserve">  WorkFusion will have no liability for any Infringement Claim:</w:t>
      </w:r>
    </w:p>
    <w:p w14:paraId="7D89964D" w14:textId="77777777" w:rsidR="00315D4F" w:rsidRDefault="002B5EC3">
      <w:pPr>
        <w:pStyle w:val="Heading3"/>
      </w:pPr>
      <w:r>
        <w:t>that arises from any:</w:t>
      </w:r>
    </w:p>
    <w:p w14:paraId="2257FB11" w14:textId="2A116917" w:rsidR="00315D4F" w:rsidRDefault="002B5EC3">
      <w:pPr>
        <w:pStyle w:val="Heading4"/>
      </w:pPr>
      <w:r>
        <w:t>use of the Indemnified</w:t>
      </w:r>
      <w:r w:rsidR="00447859">
        <w:t xml:space="preserve"> Technology in violation of the</w:t>
      </w:r>
      <w:r>
        <w:t xml:space="preserve"> Agreement;</w:t>
      </w:r>
    </w:p>
    <w:p w14:paraId="24476EA7" w14:textId="77777777" w:rsidR="00315D4F" w:rsidRDefault="002B5EC3">
      <w:pPr>
        <w:pStyle w:val="Heading4"/>
      </w:pPr>
      <w:r>
        <w:t>modification of the Indemnified Technology by anyone other than WorkFusion or a party authorized in writing by WorkFusion to modify specific code within the Indemnified Technology;</w:t>
      </w:r>
    </w:p>
    <w:p w14:paraId="636CCE57" w14:textId="77777777" w:rsidR="00315D4F" w:rsidRDefault="002B5EC3">
      <w:pPr>
        <w:pStyle w:val="Heading4"/>
      </w:pPr>
      <w:r>
        <w:t>failure by Customer to install the latest updated version of the Indemnified Technology as requested by WorkFusion to avoid infringement; or</w:t>
      </w:r>
    </w:p>
    <w:p w14:paraId="6034B8FE" w14:textId="77777777" w:rsidR="00315D4F" w:rsidRDefault="002B5EC3">
      <w:pPr>
        <w:pStyle w:val="Heading4"/>
      </w:pPr>
      <w:r>
        <w:t xml:space="preserve">third-party products, services, hardware, software, or other materials, or combination of these with Indemnified Technology if </w:t>
      </w:r>
      <w:r>
        <w:lastRenderedPageBreak/>
        <w:t>the Indemnified Technology would not be infringing without this combination; or</w:t>
      </w:r>
    </w:p>
    <w:p w14:paraId="61A9DCDC" w14:textId="77777777" w:rsidR="00315D4F" w:rsidRDefault="002B5EC3">
      <w:pPr>
        <w:pStyle w:val="Heading3"/>
      </w:pPr>
      <w:r>
        <w:t>if Customer fails to:</w:t>
      </w:r>
    </w:p>
    <w:p w14:paraId="4C8AD60A" w14:textId="77777777" w:rsidR="00315D4F" w:rsidRDefault="002B5EC3">
      <w:pPr>
        <w:pStyle w:val="Heading4"/>
      </w:pPr>
      <w:r>
        <w:t>notify WorkFusion in writing of the Infringement Claim promptly upon the earlier of learning of or receiving a notice of it, to the extent that WorkFusion is prejudiced by this failure;</w:t>
      </w:r>
    </w:p>
    <w:p w14:paraId="0542099D" w14:textId="77777777" w:rsidR="00315D4F" w:rsidRDefault="002B5EC3">
      <w:pPr>
        <w:pStyle w:val="Heading4"/>
      </w:pPr>
      <w:r>
        <w:t>provide WorkFusion with reasonable assistance requested by WorkFusion for the defense or settlement (as applicable) of the Infringement Claim;</w:t>
      </w:r>
    </w:p>
    <w:p w14:paraId="5177868E" w14:textId="77777777" w:rsidR="00315D4F" w:rsidRDefault="002B5EC3">
      <w:pPr>
        <w:pStyle w:val="Heading4"/>
      </w:pPr>
      <w:r>
        <w:t>provide WorkFusion with the exclusive right to control and the authority to settle the Infringement Claim; or</w:t>
      </w:r>
    </w:p>
    <w:p w14:paraId="7171CA1A" w14:textId="77777777" w:rsidR="00315D4F" w:rsidRDefault="002B5EC3">
      <w:pPr>
        <w:pStyle w:val="Heading4"/>
      </w:pPr>
      <w:r>
        <w:t>refrain from making admissions about the Infringement Claim without WorkFusion’s prior written consent.</w:t>
      </w:r>
    </w:p>
    <w:p w14:paraId="35634374" w14:textId="1ADD229F" w:rsidR="00315D4F" w:rsidRDefault="002B5EC3" w:rsidP="00C72B44">
      <w:pPr>
        <w:pStyle w:val="Heading2"/>
        <w:tabs>
          <w:tab w:val="clear" w:pos="1440"/>
        </w:tabs>
        <w:ind w:left="0" w:firstLine="720"/>
      </w:pPr>
      <w:r>
        <w:rPr>
          <w:b/>
        </w:rPr>
        <w:t>Sole and Exclusive Remedy.</w:t>
      </w:r>
      <w:r w:rsidR="00C72B44">
        <w:t xml:space="preserve">  The remedies in this S</w:t>
      </w:r>
      <w:r>
        <w:t xml:space="preserve">ection </w:t>
      </w:r>
      <w:r w:rsidR="00C72B44">
        <w:t>11</w:t>
      </w:r>
      <w:r>
        <w:t xml:space="preserve"> (Indemnification) are Customer’s sole and exclusive remedies and WorkFusion’s sole liability regarding the subject matter giving rise to any Claim that the Products and Services infringe or misappropriate any third party’s intellectual property rights.</w:t>
      </w:r>
    </w:p>
    <w:p w14:paraId="3C1F844B" w14:textId="77777777" w:rsidR="00315D4F" w:rsidRDefault="002B5EC3">
      <w:pPr>
        <w:pStyle w:val="Heading1"/>
      </w:pPr>
      <w:r>
        <w:t>LIMITATION OF LIABILITY</w:t>
      </w:r>
    </w:p>
    <w:p w14:paraId="20231235" w14:textId="77777777" w:rsidR="00315D4F" w:rsidRDefault="002B5EC3">
      <w:pPr>
        <w:pStyle w:val="Heading2"/>
        <w:rPr>
          <w:b/>
        </w:rPr>
      </w:pPr>
      <w:r>
        <w:rPr>
          <w:b/>
        </w:rPr>
        <w:t>LIMITATION OF DAMAGES</w:t>
      </w:r>
    </w:p>
    <w:p w14:paraId="7C7E3060" w14:textId="77777777" w:rsidR="00315D4F" w:rsidRDefault="002B5EC3" w:rsidP="00C72B44">
      <w:pPr>
        <w:pStyle w:val="Heading3"/>
        <w:tabs>
          <w:tab w:val="clear" w:pos="2160"/>
        </w:tabs>
        <w:ind w:left="720" w:firstLine="720"/>
      </w:pPr>
      <w:r>
        <w:t>In no event is either Party liable for any of the following arising out of or concerning this Agreement, however caused: special, indirect, moral, consequential, incidental, punitive, or exemplary damages; loss of profits, use, or revenue; business interruption; or loss or corruption of data.</w:t>
      </w:r>
    </w:p>
    <w:p w14:paraId="1012CAC3" w14:textId="28384D7A" w:rsidR="00315D4F" w:rsidRDefault="002B5EC3" w:rsidP="00C72B44">
      <w:pPr>
        <w:pStyle w:val="Heading3"/>
        <w:tabs>
          <w:tab w:val="clear" w:pos="2160"/>
        </w:tabs>
        <w:ind w:left="720" w:firstLine="720"/>
      </w:pPr>
      <w:r>
        <w:t xml:space="preserve">Except for any Claim related to WorkFusion’s indemnification obligations in Section </w:t>
      </w:r>
      <w:r w:rsidR="00C72B44">
        <w:t>11</w:t>
      </w:r>
      <w:r>
        <w:t>, Customer’s use of WorkFusion Technology beyond the scope of any</w:t>
      </w:r>
      <w:r w:rsidR="00755BEE">
        <w:t xml:space="preserve"> subscription granted under the</w:t>
      </w:r>
      <w:r>
        <w:t xml:space="preserve"> Agreement, or Customer’s failure to pay any amount</w:t>
      </w:r>
      <w:r w:rsidR="002A2495">
        <w:t>s owing to WorkFusion under the</w:t>
      </w:r>
      <w:r>
        <w:t xml:space="preserve"> Agreement, the maximum aggregate liability of each Party for each and all Claims (individually and together) under or relating to this Agreement or its subject matter is limited to an amount equal to the aggregate of the fees that mus</w:t>
      </w:r>
      <w:r w:rsidR="002A2495">
        <w:t>t be paid by Customer under the</w:t>
      </w:r>
      <w:r>
        <w:t xml:space="preserve"> Agreement during the 12 months before the initial Claim.</w:t>
      </w:r>
    </w:p>
    <w:p w14:paraId="3BF9664B" w14:textId="6FBF43CB" w:rsidR="00315D4F" w:rsidRDefault="002B5EC3" w:rsidP="00C72B44">
      <w:pPr>
        <w:pStyle w:val="Heading3"/>
        <w:tabs>
          <w:tab w:val="clear" w:pos="2160"/>
        </w:tabs>
        <w:ind w:left="720" w:firstLine="720"/>
      </w:pPr>
      <w:r>
        <w:t xml:space="preserve">Sections </w:t>
      </w:r>
      <w:r w:rsidR="005A087F">
        <w:t>12</w:t>
      </w:r>
      <w:r>
        <w:t xml:space="preserve">.1(A) and </w:t>
      </w:r>
      <w:r w:rsidR="005A087F">
        <w:t>12</w:t>
      </w:r>
      <w:r>
        <w:t xml:space="preserve">.1(B) (Limitation of Liability) of </w:t>
      </w:r>
      <w:r w:rsidR="005067EA">
        <w:t>this Subscription Agreement</w:t>
      </w:r>
      <w:r>
        <w:t xml:space="preserve"> apply regardless of the form or source of Claim or Loss, whether the Claim or Loss was foreseeable, and whether a Party has been advised of the possibility of the Claim or Loss.</w:t>
      </w:r>
    </w:p>
    <w:p w14:paraId="69D621B6" w14:textId="77777777" w:rsidR="00315D4F" w:rsidRDefault="002B5EC3" w:rsidP="005A087F">
      <w:pPr>
        <w:pStyle w:val="Heading2"/>
        <w:tabs>
          <w:tab w:val="clear" w:pos="1440"/>
        </w:tabs>
        <w:ind w:left="0" w:firstLine="720"/>
        <w:rPr>
          <w:b/>
        </w:rPr>
      </w:pPr>
      <w:r>
        <w:rPr>
          <w:b/>
        </w:rPr>
        <w:t xml:space="preserve">IMPLIED WARRANTIES.  </w:t>
      </w:r>
      <w:r>
        <w:t xml:space="preserve">To the maximum extent permitted by law and except for the express warranties in this Agreement, WorkFusion provides the Products and Services on </w:t>
      </w:r>
      <w:r>
        <w:lastRenderedPageBreak/>
        <w:t xml:space="preserve">an “as-is” basis.  WorkFusion, its Affiliates, and third-party providers disclaim and make no other representation or warranty of any kind, express, implied or statutory, including representations, guarantees or warranties of merchantability, fitness for a particular purpose, title, non-infringement, or accuracy.  Customer acknowledges that (A) neither WorkFusion, its Affiliates nor its third party providers controls Customer equipment or the transfer of data over communications facilities (including the Internet); (B) the Products and Services may be subject to limitations, interruptions, delays, cancellations, and other problems inherent in the use of the communications facilities (including search engines and social media channels); and (C) it is fully responsible to install appropriate security updates and patches.  WorkFusion, its Affiliates, and its </w:t>
      </w:r>
      <w:proofErr w:type="gramStart"/>
      <w:r>
        <w:t>third party</w:t>
      </w:r>
      <w:proofErr w:type="gramEnd"/>
      <w:r>
        <w:t xml:space="preserve"> providers are not responsible for any interruptions, delays, cancellations, delivery failures, data loss, content corruption, packet loss, or other damage resulting from these problems.</w:t>
      </w:r>
    </w:p>
    <w:p w14:paraId="56D8347C" w14:textId="77777777" w:rsidR="00315D4F" w:rsidRDefault="002B5EC3">
      <w:pPr>
        <w:pStyle w:val="Heading1"/>
        <w:keepNext/>
      </w:pPr>
      <w:r>
        <w:t>COMPLIANCE</w:t>
      </w:r>
    </w:p>
    <w:p w14:paraId="3F624C11" w14:textId="77777777" w:rsidR="00315D4F" w:rsidRDefault="002B5EC3" w:rsidP="005A087F">
      <w:pPr>
        <w:pStyle w:val="Heading2"/>
        <w:tabs>
          <w:tab w:val="clear" w:pos="1440"/>
        </w:tabs>
        <w:ind w:left="0" w:firstLine="720"/>
      </w:pPr>
      <w:r>
        <w:t>WorkFusion may, at its expense and no more than once every 12 months, appoint its own personnel or an independent third party (or both) to verify that Customer’s use, installation, or deployment of the Products and Services (or other WorkFusion Technology used in conjunction with the Products and Services) comply with the terms of this Agreement.</w:t>
      </w:r>
    </w:p>
    <w:p w14:paraId="390D0BE8" w14:textId="7D3D1B13" w:rsidR="00315D4F" w:rsidRDefault="002B5EC3" w:rsidP="005A087F">
      <w:pPr>
        <w:pStyle w:val="Heading2"/>
        <w:tabs>
          <w:tab w:val="clear" w:pos="1440"/>
        </w:tabs>
        <w:ind w:left="0" w:firstLine="720"/>
      </w:pPr>
      <w:r>
        <w:t>For any On-premise Software, the verification will require Customer to provide within 30 days of request (A) raw data from a software asset management tool of all On-premise Software installed or deployed by or at the direction of Customer, including installation or deployment on servers owned by Customer or provided by third parties; (B) all valid purchase documentation for all On-premise Software; and (C) any information reasonably requested by WorkFusion.</w:t>
      </w:r>
    </w:p>
    <w:p w14:paraId="448E940E" w14:textId="77777777" w:rsidR="00315D4F" w:rsidRDefault="002B5EC3" w:rsidP="005A087F">
      <w:pPr>
        <w:pStyle w:val="Heading2"/>
        <w:tabs>
          <w:tab w:val="clear" w:pos="1440"/>
        </w:tabs>
        <w:ind w:left="0" w:firstLine="720"/>
      </w:pPr>
      <w:r>
        <w:t>Any verification may include an onsite audit conducted at Customer’s relevant places of business upon 7 days’ prior notice, during regular business hours, and will not unreasonably interfere with Customer’s business activities.</w:t>
      </w:r>
    </w:p>
    <w:p w14:paraId="2CD2AF95" w14:textId="77777777" w:rsidR="00315D4F" w:rsidRDefault="002B5EC3" w:rsidP="005A087F">
      <w:pPr>
        <w:pStyle w:val="Heading2"/>
        <w:tabs>
          <w:tab w:val="clear" w:pos="1440"/>
        </w:tabs>
        <w:ind w:left="0" w:firstLine="720"/>
        <w:rPr>
          <w:rFonts w:asciiTheme="minorHAnsi" w:hAnsiTheme="minorHAnsi"/>
        </w:rPr>
      </w:pPr>
      <w:r>
        <w:t xml:space="preserve">If the verification shows that Customer, its Affiliates or third-party contractors of Customer or its Affiliates </w:t>
      </w:r>
      <w:r>
        <w:rPr>
          <w:rFonts w:asciiTheme="minorHAnsi" w:hAnsiTheme="minorHAnsi"/>
        </w:rPr>
        <w:t>are deploying, installing or using the Products and Services (or other WorkFusion Technology used in conjunction with the Products and Services) (A) beyond the quantity that was legitimately licensed; or (B) in any way not permitted under this Agreement, so that additional fees apply, Customer must pay the additional fees and any applicable related maintenance and support fees within 30 days of invoice date.  If use, deployment, or installation exceeds 5% of that which is permitted under this Agreement, Customer must pay WorkFusion’s reasonable costs of conducting the verification, in addition to paying the additional fees.</w:t>
      </w:r>
    </w:p>
    <w:p w14:paraId="29A6C072" w14:textId="77777777" w:rsidR="00315D4F" w:rsidRDefault="002B5EC3">
      <w:pPr>
        <w:pStyle w:val="Heading1"/>
      </w:pPr>
      <w:r>
        <w:t>GENERAL PROVISIONS</w:t>
      </w:r>
    </w:p>
    <w:p w14:paraId="7D319CAB" w14:textId="77777777" w:rsidR="00315D4F" w:rsidRDefault="002B5EC3">
      <w:pPr>
        <w:pStyle w:val="Heading2"/>
        <w:rPr>
          <w:b/>
        </w:rPr>
      </w:pPr>
      <w:r>
        <w:rPr>
          <w:b/>
        </w:rPr>
        <w:t>Assignment.</w:t>
      </w:r>
    </w:p>
    <w:p w14:paraId="7354425B" w14:textId="77777777" w:rsidR="00315D4F" w:rsidRDefault="002B5EC3" w:rsidP="005A087F">
      <w:pPr>
        <w:pStyle w:val="Heading3"/>
        <w:tabs>
          <w:tab w:val="clear" w:pos="2160"/>
        </w:tabs>
        <w:ind w:left="720" w:firstLine="720"/>
      </w:pPr>
      <w:r>
        <w:t xml:space="preserve">Customer may assign this Agreement in its entirety to a surviving person or entity under a merger or acquisition of Customer, upon written notice to </w:t>
      </w:r>
      <w:r>
        <w:rPr>
          <w:rFonts w:asciiTheme="minorHAnsi" w:hAnsiTheme="minorHAnsi"/>
        </w:rPr>
        <w:t>WorkFusion</w:t>
      </w:r>
      <w:r>
        <w:t>, if the assignment does not expand the scope of the rights to use the Products and Services.</w:t>
      </w:r>
    </w:p>
    <w:p w14:paraId="02828F2E" w14:textId="77777777" w:rsidR="00315D4F" w:rsidRDefault="002B5EC3" w:rsidP="005A087F">
      <w:pPr>
        <w:pStyle w:val="Heading3"/>
        <w:tabs>
          <w:tab w:val="clear" w:pos="2160"/>
        </w:tabs>
        <w:ind w:left="720" w:firstLine="720"/>
      </w:pPr>
      <w:r>
        <w:rPr>
          <w:rFonts w:asciiTheme="minorHAnsi" w:hAnsiTheme="minorHAnsi"/>
        </w:rPr>
        <w:lastRenderedPageBreak/>
        <w:t>WorkFusion</w:t>
      </w:r>
      <w:r>
        <w:t xml:space="preserve"> may assign this Agreement (or a part of it) to its Affiliates or a surviving person under a merger or acquisition of </w:t>
      </w:r>
      <w:r>
        <w:rPr>
          <w:rFonts w:asciiTheme="minorHAnsi" w:hAnsiTheme="minorHAnsi"/>
        </w:rPr>
        <w:t>WorkFusion</w:t>
      </w:r>
      <w:r>
        <w:t xml:space="preserve"> or the assets of the business to which this Agreement relates, upon written notice to Customer.</w:t>
      </w:r>
    </w:p>
    <w:p w14:paraId="65BB7D66" w14:textId="2C4807E5" w:rsidR="00315D4F" w:rsidRDefault="005067EA" w:rsidP="005A087F">
      <w:pPr>
        <w:pStyle w:val="Heading3"/>
        <w:tabs>
          <w:tab w:val="clear" w:pos="2160"/>
        </w:tabs>
        <w:ind w:left="720" w:firstLine="720"/>
      </w:pPr>
      <w:r>
        <w:t>Except as provided in this S</w:t>
      </w:r>
      <w:r w:rsidR="002B5EC3">
        <w:t>ection 1</w:t>
      </w:r>
      <w:r w:rsidR="002A2495">
        <w:t>4</w:t>
      </w:r>
      <w:r w:rsidR="002B5EC3">
        <w:t xml:space="preserve">.1 (Assignment) of </w:t>
      </w:r>
      <w:r>
        <w:t>this Subscription Agreement</w:t>
      </w:r>
      <w:r w:rsidR="002B5EC3">
        <w:t xml:space="preserve">, Customer may not assign, voluntarily, by operation of law or otherwise, any rights or obligations under this Agreement without the prior, written consent of </w:t>
      </w:r>
      <w:r w:rsidR="002B5EC3">
        <w:rPr>
          <w:rFonts w:asciiTheme="minorHAnsi" w:hAnsiTheme="minorHAnsi"/>
        </w:rPr>
        <w:t>WorkFusion</w:t>
      </w:r>
      <w:r w:rsidR="002B5EC3">
        <w:t>.</w:t>
      </w:r>
    </w:p>
    <w:p w14:paraId="64C699E8" w14:textId="715C46C3" w:rsidR="00315D4F" w:rsidRDefault="002B5EC3" w:rsidP="005A087F">
      <w:pPr>
        <w:pStyle w:val="Heading2"/>
        <w:tabs>
          <w:tab w:val="clear" w:pos="1440"/>
        </w:tabs>
        <w:ind w:left="0" w:firstLine="720"/>
        <w:rPr>
          <w:rFonts w:asciiTheme="minorHAnsi" w:hAnsiTheme="minorHAnsi"/>
        </w:rPr>
      </w:pPr>
      <w:r>
        <w:rPr>
          <w:b/>
        </w:rPr>
        <w:t>Governing Law, Venue.</w:t>
      </w:r>
      <w:r w:rsidR="00DA1C79">
        <w:t xml:space="preserve">  The</w:t>
      </w:r>
      <w:r>
        <w:t xml:space="preserve"> Agreement is governed by and construed under the laws of the state of </w:t>
      </w:r>
      <w:r>
        <w:rPr>
          <w:rFonts w:asciiTheme="minorHAnsi" w:hAnsiTheme="minorHAnsi"/>
        </w:rPr>
        <w:t xml:space="preserve">New York, without regard to any conflict of law rules or </w:t>
      </w:r>
      <w:proofErr w:type="gramStart"/>
      <w:r>
        <w:rPr>
          <w:rFonts w:asciiTheme="minorHAnsi" w:hAnsiTheme="minorHAnsi"/>
        </w:rPr>
        <w:t>principles, and</w:t>
      </w:r>
      <w:proofErr w:type="gramEnd"/>
      <w:r>
        <w:rPr>
          <w:rFonts w:asciiTheme="minorHAnsi" w:hAnsiTheme="minorHAnsi"/>
        </w:rPr>
        <w:t xml:space="preserve"> excluding the application of the United Nations Convention on Contracts for the International Sale of Goods.  The Parties irrevocably submit to the exclusive jurisdiction of the courts of competent jurisdiction in the County of New York, state of New York, provided however, WorkFusion will have the right to pursue claims against Customer in any other jurisdiction worldwide to enforce its rights under this Agreement or to enforce its intellectual property rights.</w:t>
      </w:r>
    </w:p>
    <w:p w14:paraId="320B40AF" w14:textId="77777777" w:rsidR="00315D4F" w:rsidRDefault="002B5EC3" w:rsidP="005A087F">
      <w:pPr>
        <w:pStyle w:val="Heading2"/>
        <w:tabs>
          <w:tab w:val="clear" w:pos="1440"/>
        </w:tabs>
        <w:ind w:left="0" w:firstLine="720"/>
        <w:rPr>
          <w:rFonts w:asciiTheme="minorHAnsi" w:hAnsiTheme="minorHAnsi"/>
        </w:rPr>
      </w:pPr>
      <w:r>
        <w:rPr>
          <w:b/>
        </w:rPr>
        <w:t>Force Majeure.</w:t>
      </w:r>
      <w:r>
        <w:t xml:space="preserve">  Neither Party is liable for failure to perform its obligations under this Agreement (except </w:t>
      </w:r>
      <w:r>
        <w:rPr>
          <w:rFonts w:asciiTheme="minorHAnsi" w:hAnsiTheme="minorHAnsi"/>
        </w:rPr>
        <w:t>for any payment obligations) to the extent that performance is delayed, prevented, restricted or interfered with as a result of any causes beyond its reasonable control, including acts of God, terrorism, labor action, fire, flood, earthquake, failure of third-party providers, denial of service attacks and other malicious conduct, utility failures, power outages, or governmental acts, orders, or restrictions.</w:t>
      </w:r>
    </w:p>
    <w:p w14:paraId="74BD4686" w14:textId="77777777" w:rsidR="00315D4F" w:rsidRDefault="002B5EC3" w:rsidP="005A087F">
      <w:pPr>
        <w:pStyle w:val="Heading2"/>
        <w:tabs>
          <w:tab w:val="clear" w:pos="1440"/>
        </w:tabs>
        <w:ind w:left="0" w:firstLine="720"/>
        <w:rPr>
          <w:rFonts w:asciiTheme="minorHAnsi" w:hAnsiTheme="minorHAnsi"/>
        </w:rPr>
      </w:pPr>
      <w:r>
        <w:rPr>
          <w:b/>
        </w:rPr>
        <w:t>Injunctive Relief.</w:t>
      </w:r>
      <w:r>
        <w:t xml:space="preserve">  Actual or threatened breach of certain sections of this Agreement (such as, without </w:t>
      </w:r>
      <w:r>
        <w:rPr>
          <w:rFonts w:asciiTheme="minorHAnsi" w:hAnsiTheme="minorHAnsi"/>
        </w:rPr>
        <w:t>limitation, provisions on intellectual property (including ownership), license, privacy, data protection and confidentiality) may cause immediate, irreparable harm that is difficult to calculate and cannot be remedied by the payment of damages alone.  Either Party will be entitled to seek preliminary and permanent injunctive relief and other equitable relief for any such breach.</w:t>
      </w:r>
    </w:p>
    <w:p w14:paraId="1C47716D" w14:textId="41F62773" w:rsidR="00315D4F" w:rsidRDefault="002B5EC3" w:rsidP="005A087F">
      <w:pPr>
        <w:pStyle w:val="Heading2"/>
        <w:tabs>
          <w:tab w:val="clear" w:pos="1440"/>
        </w:tabs>
        <w:ind w:left="0" w:firstLine="720"/>
        <w:rPr>
          <w:rFonts w:asciiTheme="minorHAnsi" w:hAnsiTheme="minorHAnsi"/>
        </w:rPr>
      </w:pPr>
      <w:r>
        <w:rPr>
          <w:b/>
        </w:rPr>
        <w:t>Notices.</w:t>
      </w:r>
      <w:r>
        <w:t xml:space="preserve">  Any notice given under this Agreement must be in writing by email to the following addresses (or </w:t>
      </w:r>
      <w:r>
        <w:rPr>
          <w:rFonts w:asciiTheme="minorHAnsi" w:hAnsiTheme="minorHAnsi"/>
        </w:rPr>
        <w:t xml:space="preserve">addresses notified in writing by either Party): (A) to WorkFusion: </w:t>
      </w:r>
      <w:r>
        <w:rPr>
          <w:rFonts w:asciiTheme="minorHAnsi" w:hAnsiTheme="minorHAnsi"/>
          <w:u w:val="single"/>
        </w:rPr>
        <w:t>finance@WorkFusion.com</w:t>
      </w:r>
      <w:r>
        <w:rPr>
          <w:rFonts w:asciiTheme="minorHAnsi" w:hAnsiTheme="minorHAnsi"/>
        </w:rPr>
        <w:t xml:space="preserve">; and (B) to Customer: at Customer’s </w:t>
      </w:r>
      <w:r w:rsidR="00A61646">
        <w:rPr>
          <w:rFonts w:asciiTheme="minorHAnsi" w:hAnsiTheme="minorHAnsi"/>
        </w:rPr>
        <w:t>email address stated on the SOW</w:t>
      </w:r>
      <w:r>
        <w:rPr>
          <w:rFonts w:asciiTheme="minorHAnsi" w:hAnsiTheme="minorHAnsi"/>
        </w:rPr>
        <w:t>.  A notice is taken to have been received by email 3 hours after the time sent (as recorded on the device from which the sender sent the email), unless the sender receives an automated message that the email has not been delivered.</w:t>
      </w:r>
    </w:p>
    <w:p w14:paraId="7BD7280E" w14:textId="77777777" w:rsidR="00315D4F" w:rsidRDefault="002B5EC3" w:rsidP="005A087F">
      <w:pPr>
        <w:pStyle w:val="Heading2"/>
        <w:tabs>
          <w:tab w:val="clear" w:pos="1440"/>
        </w:tabs>
        <w:ind w:left="0" w:firstLine="720"/>
        <w:rPr>
          <w:rFonts w:asciiTheme="minorHAnsi" w:hAnsiTheme="minorHAnsi"/>
        </w:rPr>
      </w:pPr>
      <w:r>
        <w:rPr>
          <w:b/>
        </w:rPr>
        <w:t>No Agency.</w:t>
      </w:r>
      <w:r>
        <w:t xml:space="preserve">  Nothing in this Agreement is intended to constitute a fiduciary relationship, agency, joint </w:t>
      </w:r>
      <w:r>
        <w:rPr>
          <w:rFonts w:asciiTheme="minorHAnsi" w:hAnsiTheme="minorHAnsi"/>
        </w:rPr>
        <w:t>venture, partnership, or trust between the Parties.  No Party has authority to bind the other Party.</w:t>
      </w:r>
    </w:p>
    <w:p w14:paraId="0828898A" w14:textId="77777777" w:rsidR="00315D4F" w:rsidRDefault="002B5EC3" w:rsidP="005A087F">
      <w:pPr>
        <w:pStyle w:val="Heading2"/>
        <w:tabs>
          <w:tab w:val="clear" w:pos="1440"/>
        </w:tabs>
        <w:ind w:left="0" w:firstLine="720"/>
        <w:rPr>
          <w:rFonts w:asciiTheme="minorHAnsi" w:hAnsiTheme="minorHAnsi"/>
        </w:rPr>
      </w:pPr>
      <w:r>
        <w:rPr>
          <w:b/>
        </w:rPr>
        <w:t>Third-Party Beneficiaries.</w:t>
      </w:r>
      <w:r>
        <w:t xml:space="preserve">  Customer acknowledges and agrees that </w:t>
      </w:r>
      <w:r>
        <w:rPr>
          <w:rFonts w:asciiTheme="minorHAnsi" w:hAnsiTheme="minorHAnsi"/>
        </w:rPr>
        <w:t>WorkFusion</w:t>
      </w:r>
      <w:r>
        <w:t xml:space="preserve">’s licensors are third-party </w:t>
      </w:r>
      <w:r>
        <w:rPr>
          <w:rFonts w:asciiTheme="minorHAnsi" w:hAnsiTheme="minorHAnsi"/>
        </w:rPr>
        <w:t>beneficiaries of this Agreement, with the right to enforce the obligations in this Agreement directly against Customer.</w:t>
      </w:r>
    </w:p>
    <w:p w14:paraId="16312EB4" w14:textId="20892ECE" w:rsidR="00315D4F" w:rsidRDefault="002B5EC3" w:rsidP="005A087F">
      <w:pPr>
        <w:pStyle w:val="Heading2"/>
        <w:tabs>
          <w:tab w:val="clear" w:pos="1440"/>
        </w:tabs>
        <w:ind w:left="0" w:firstLine="720"/>
        <w:rPr>
          <w:rFonts w:asciiTheme="minorHAnsi" w:hAnsiTheme="minorHAnsi"/>
        </w:rPr>
      </w:pPr>
      <w:r>
        <w:rPr>
          <w:b/>
        </w:rPr>
        <w:lastRenderedPageBreak/>
        <w:t>Customer’s Purchase Order.</w:t>
      </w:r>
      <w:r>
        <w:t xml:space="preserve">  Any terms or conditions in Customer’s purchase order or any other related </w:t>
      </w:r>
      <w:r>
        <w:rPr>
          <w:rFonts w:asciiTheme="minorHAnsi" w:hAnsiTheme="minorHAnsi"/>
        </w:rPr>
        <w:t>documentation submitted by or on behalf of Customer to WorkFusion (or any other party</w:t>
      </w:r>
      <w:r w:rsidR="009429CE">
        <w:rPr>
          <w:rFonts w:asciiTheme="minorHAnsi" w:hAnsiTheme="minorHAnsi"/>
        </w:rPr>
        <w:t>) do not form part of the</w:t>
      </w:r>
      <w:r>
        <w:rPr>
          <w:rFonts w:asciiTheme="minorHAnsi" w:hAnsiTheme="minorHAnsi"/>
        </w:rPr>
        <w:t xml:space="preserve"> Agreement and are void.</w:t>
      </w:r>
    </w:p>
    <w:p w14:paraId="77D97260" w14:textId="77777777" w:rsidR="00315D4F" w:rsidRDefault="002B5EC3" w:rsidP="005A087F">
      <w:pPr>
        <w:pStyle w:val="Heading2"/>
        <w:tabs>
          <w:tab w:val="clear" w:pos="1440"/>
        </w:tabs>
        <w:ind w:left="0" w:firstLine="720"/>
        <w:rPr>
          <w:rFonts w:asciiTheme="minorHAnsi" w:hAnsiTheme="minorHAnsi"/>
        </w:rPr>
      </w:pPr>
      <w:r>
        <w:rPr>
          <w:b/>
        </w:rPr>
        <w:t>Waiver, Modification.</w:t>
      </w:r>
      <w:r>
        <w:t xml:space="preserve">  Neither Party’s waiver of the breach of any provision constitutes a waiver of that </w:t>
      </w:r>
      <w:r>
        <w:rPr>
          <w:rFonts w:asciiTheme="minorHAnsi" w:hAnsiTheme="minorHAnsi"/>
        </w:rPr>
        <w:t>provision in any other instance.  This Agreement may not be modified nor any rights under it waived, in whole or in part, except in writing signed by the Parties.</w:t>
      </w:r>
    </w:p>
    <w:p w14:paraId="6C05B58C" w14:textId="77777777" w:rsidR="00315D4F" w:rsidRDefault="002B5EC3" w:rsidP="005A087F">
      <w:pPr>
        <w:pStyle w:val="Heading2"/>
        <w:tabs>
          <w:tab w:val="clear" w:pos="1440"/>
        </w:tabs>
        <w:ind w:left="0" w:firstLine="720"/>
      </w:pPr>
      <w:r>
        <w:rPr>
          <w:b/>
        </w:rPr>
        <w:t>Entire Agreement.</w:t>
      </w:r>
      <w:r>
        <w:t xml:space="preserve">  This Agreement contains the entire understanding of the Parties relating to the subject matter and supersedes all earlier agreements, understandings, proposals, discussions, negotiations, representations and warranties, both written and oral, regarding the subject matter.</w:t>
      </w:r>
    </w:p>
    <w:p w14:paraId="3212B29F" w14:textId="6034F81D" w:rsidR="00315D4F" w:rsidRDefault="002B5EC3" w:rsidP="005A087F">
      <w:pPr>
        <w:pStyle w:val="Heading2"/>
        <w:tabs>
          <w:tab w:val="clear" w:pos="1440"/>
        </w:tabs>
        <w:ind w:left="0" w:firstLine="720"/>
      </w:pPr>
      <w:r>
        <w:rPr>
          <w:b/>
        </w:rPr>
        <w:t>Counterpart.</w:t>
      </w:r>
      <w:r>
        <w:t xml:space="preserve">  This</w:t>
      </w:r>
      <w:r w:rsidR="002A2495">
        <w:t xml:space="preserve"> Subscription </w:t>
      </w:r>
      <w:r>
        <w:t xml:space="preserve">Agreement (or a component) </w:t>
      </w:r>
      <w:r w:rsidR="00CE07E1">
        <w:t xml:space="preserve">and any SOW executed hereunder </w:t>
      </w:r>
      <w:r>
        <w:t>may be executed in one or more counterparts, each of which constitutes an original and all of which taken together constitutes the same agre</w:t>
      </w:r>
      <w:r w:rsidR="002A2495">
        <w:t>ement.  Each Party may sign the Subscription</w:t>
      </w:r>
      <w:r>
        <w:t xml:space="preserve"> Agreement </w:t>
      </w:r>
      <w:r w:rsidR="00CE07E1">
        <w:t xml:space="preserve">or any SOW </w:t>
      </w:r>
      <w:r>
        <w:t>using an electronic or handwritten signature, which are of equal effect, whether on original or electronic copies.</w:t>
      </w:r>
    </w:p>
    <w:p w14:paraId="125B53DC" w14:textId="04B28265" w:rsidR="00315D4F" w:rsidRDefault="002B5EC3" w:rsidP="005A087F">
      <w:pPr>
        <w:pStyle w:val="Heading2"/>
        <w:tabs>
          <w:tab w:val="clear" w:pos="1440"/>
        </w:tabs>
        <w:ind w:left="0" w:firstLine="720"/>
      </w:pPr>
      <w:r>
        <w:rPr>
          <w:b/>
        </w:rPr>
        <w:t>Severability.</w:t>
      </w:r>
      <w:r w:rsidR="002A2495">
        <w:t xml:space="preserve">  If </w:t>
      </w:r>
      <w:r w:rsidR="008717D5">
        <w:t>any provision of the Agreement is found by a proper authority to be unenforceable or invalid such unenforceability or invalidity shall not render the Agreement unenforceable or invalid as a whole and in such event, such provision shall be changed and interpreted so as to best accomplish the objectives of such unenforceable or invalid provision within the limits of applicable law or applicable court decisions</w:t>
      </w:r>
      <w:r>
        <w:t>.</w:t>
      </w:r>
    </w:p>
    <w:p w14:paraId="54ACC715" w14:textId="77777777" w:rsidR="00315D4F" w:rsidRDefault="002B5EC3" w:rsidP="005A087F">
      <w:pPr>
        <w:pStyle w:val="Heading2"/>
        <w:tabs>
          <w:tab w:val="clear" w:pos="1440"/>
        </w:tabs>
        <w:ind w:left="0" w:firstLine="720"/>
      </w:pPr>
      <w:r>
        <w:rPr>
          <w:b/>
        </w:rPr>
        <w:t>Trade Rules.</w:t>
      </w:r>
      <w:r>
        <w:t xml:space="preserve">  Customer acknowledges that the Products and Services may be subject to the trade control laws and regulations of the United States and other national governments, and Customer will comply with them.</w:t>
      </w:r>
    </w:p>
    <w:p w14:paraId="556C9778" w14:textId="3938D017" w:rsidR="00315D4F" w:rsidRDefault="002B5EC3" w:rsidP="005A087F">
      <w:pPr>
        <w:pStyle w:val="Heading2"/>
        <w:tabs>
          <w:tab w:val="clear" w:pos="1440"/>
        </w:tabs>
        <w:ind w:left="0" w:firstLine="720"/>
      </w:pPr>
      <w:r>
        <w:rPr>
          <w:b/>
        </w:rPr>
        <w:t>U.S. Government Licensing.</w:t>
      </w:r>
      <w:r>
        <w:t xml:space="preserve">  For US Government end users: Customer acknowledges that Products and Services are “Commercial Item(s),” as that term is defined at 48 C.F.R. section 2.101, consisting of “Commercial Computer Software” and “Commercial Computer Software Documentation,” as the terms are used in 48 C.F.R. section 12.212 or 48 C.F.R. section 227.7202, as applicable.  Customer agrees, consistent with 48 C.F.R. section 12.212 or 48 C.F.R. sections 227.7202-1 through 227.7202-4, as applicable, the Commercial Computer Software and Commercial Computer Software Documentation are being licensed to U.S. Government end users (A) only as Commercial Items; and (B) with only those rights as are granted to all other end users pursuant to the terms and conditions herein.  Unpublished rights reserved under the copyright laws of the United States.</w:t>
      </w:r>
    </w:p>
    <w:p w14:paraId="6BC94C72" w14:textId="694E0B5B" w:rsidR="00521BDB" w:rsidRDefault="00521BDB" w:rsidP="005A087F">
      <w:pPr>
        <w:pStyle w:val="Heading2"/>
        <w:tabs>
          <w:tab w:val="clear" w:pos="1440"/>
          <w:tab w:val="num" w:pos="720"/>
        </w:tabs>
        <w:ind w:left="0" w:firstLine="720"/>
      </w:pPr>
      <w:r w:rsidRPr="00D31524">
        <w:rPr>
          <w:b/>
        </w:rPr>
        <w:t>Further Assurances</w:t>
      </w:r>
      <w:r w:rsidRPr="00E417AF">
        <w:t>.  At any ti</w:t>
      </w:r>
      <w:r w:rsidR="009429CE">
        <w:t>me and from time to time, each P</w:t>
      </w:r>
      <w:r w:rsidRPr="00E417AF">
        <w:t>arty will, without further considerati</w:t>
      </w:r>
      <w:r>
        <w:t>on, take such further action,</w:t>
      </w:r>
      <w:r w:rsidRPr="00E417AF">
        <w:t xml:space="preserve"> execute and deliver such further instruments and documents as may be rea</w:t>
      </w:r>
      <w:r w:rsidR="009429CE">
        <w:t>sonably requested by the other P</w:t>
      </w:r>
      <w:r w:rsidRPr="00E417AF">
        <w:t>arty in order to carry out the</w:t>
      </w:r>
      <w:r w:rsidR="009429CE">
        <w:t xml:space="preserve"> provisions and purposes of the</w:t>
      </w:r>
      <w:r w:rsidRPr="00E417AF">
        <w:t xml:space="preserve"> Agreement.  </w:t>
      </w:r>
    </w:p>
    <w:p w14:paraId="0EDB3B36" w14:textId="693BF6F4" w:rsidR="005067EA" w:rsidRPr="005067EA" w:rsidRDefault="005067EA" w:rsidP="005067EA">
      <w:pPr>
        <w:pStyle w:val="Heading2"/>
        <w:numPr>
          <w:ilvl w:val="0"/>
          <w:numId w:val="0"/>
        </w:numPr>
        <w:ind w:left="90"/>
        <w:jc w:val="center"/>
      </w:pPr>
      <w:r>
        <w:rPr>
          <w:b/>
        </w:rPr>
        <w:t>[</w:t>
      </w:r>
      <w:r>
        <w:rPr>
          <w:b/>
          <w:i/>
        </w:rPr>
        <w:t>Balance of Page Intentionally Left Blank</w:t>
      </w:r>
      <w:r>
        <w:t>]</w:t>
      </w:r>
    </w:p>
    <w:p w14:paraId="59C6E0B4" w14:textId="3C7DED7F" w:rsidR="005067EA" w:rsidRDefault="005067EA">
      <w:pPr>
        <w:spacing w:after="0"/>
        <w:rPr>
          <w:b/>
          <w:color w:val="000000"/>
          <w:szCs w:val="28"/>
          <w:u w:color="000000"/>
        </w:rPr>
      </w:pPr>
      <w:r>
        <w:rPr>
          <w:b/>
        </w:rPr>
        <w:br w:type="page"/>
      </w:r>
    </w:p>
    <w:p w14:paraId="5C129292" w14:textId="0D781216" w:rsidR="00521BDB" w:rsidRPr="005067EA" w:rsidRDefault="005067EA" w:rsidP="009429CE">
      <w:pPr>
        <w:keepNext/>
        <w:keepLines/>
        <w:tabs>
          <w:tab w:val="left" w:pos="-720"/>
        </w:tabs>
        <w:jc w:val="both"/>
      </w:pPr>
      <w:r>
        <w:rPr>
          <w:b/>
          <w:color w:val="000000"/>
          <w:szCs w:val="28"/>
          <w:u w:color="000000"/>
        </w:rPr>
        <w:lastRenderedPageBreak/>
        <w:tab/>
      </w:r>
      <w:r w:rsidR="00521BDB">
        <w:rPr>
          <w:b/>
        </w:rPr>
        <w:t xml:space="preserve">IN WITNESS WHEREOF, </w:t>
      </w:r>
      <w:r w:rsidR="009429CE">
        <w:t>the P</w:t>
      </w:r>
      <w:r w:rsidR="00D84632" w:rsidRPr="00D22B51">
        <w:t xml:space="preserve">arties hereto have executed this </w:t>
      </w:r>
      <w:r w:rsidR="009429CE">
        <w:t xml:space="preserve">Subscription </w:t>
      </w:r>
      <w:r w:rsidR="00D84632" w:rsidRPr="00D22B51">
        <w:t xml:space="preserve">Agreement as of the </w:t>
      </w:r>
      <w:r w:rsidR="00D84632">
        <w:t>Effective Date</w:t>
      </w:r>
      <w:r w:rsidR="00D84632" w:rsidRPr="00D22B51">
        <w:t>.</w:t>
      </w:r>
    </w:p>
    <w:tbl>
      <w:tblPr>
        <w:tblW w:w="9450" w:type="dxa"/>
        <w:tblLayout w:type="fixed"/>
        <w:tblLook w:val="0000" w:firstRow="0" w:lastRow="0" w:firstColumn="0" w:lastColumn="0" w:noHBand="0" w:noVBand="0"/>
      </w:tblPr>
      <w:tblGrid>
        <w:gridCol w:w="4860"/>
        <w:gridCol w:w="4590"/>
      </w:tblGrid>
      <w:tr w:rsidR="00521BDB" w:rsidRPr="002712FB" w14:paraId="61A4C94D" w14:textId="77777777" w:rsidTr="00152628">
        <w:tc>
          <w:tcPr>
            <w:tcW w:w="4860" w:type="dxa"/>
          </w:tcPr>
          <w:p w14:paraId="1F98BD57" w14:textId="77777777" w:rsidR="00521BDB" w:rsidRDefault="00521BDB" w:rsidP="00152628">
            <w:pPr>
              <w:spacing w:after="0"/>
              <w:rPr>
                <w:rFonts w:asciiTheme="majorHAnsi" w:hAnsiTheme="majorHAnsi" w:cstheme="majorHAnsi"/>
                <w:b/>
                <w:caps/>
              </w:rPr>
            </w:pPr>
            <w:r>
              <w:rPr>
                <w:rFonts w:asciiTheme="majorHAnsi" w:hAnsiTheme="majorHAnsi" w:cstheme="majorHAnsi"/>
                <w:b/>
                <w:caps/>
              </w:rPr>
              <w:t>Crowd Computing Systems, Inc. d/b/a WorkFusion</w:t>
            </w:r>
          </w:p>
          <w:p w14:paraId="41A4682E" w14:textId="77777777" w:rsidR="00521BDB" w:rsidRDefault="00521BDB" w:rsidP="00152628">
            <w:pPr>
              <w:spacing w:after="0"/>
              <w:rPr>
                <w:rFonts w:asciiTheme="majorHAnsi" w:hAnsiTheme="majorHAnsi" w:cstheme="majorHAnsi"/>
                <w:b/>
                <w:caps/>
              </w:rPr>
            </w:pPr>
          </w:p>
        </w:tc>
        <w:tc>
          <w:tcPr>
            <w:tcW w:w="4590" w:type="dxa"/>
          </w:tcPr>
          <w:p w14:paraId="5B3D81AE" w14:textId="0F88A8CA" w:rsidR="00521BDB" w:rsidRPr="002712FB" w:rsidRDefault="00521BDB" w:rsidP="00152628">
            <w:pPr>
              <w:spacing w:after="0"/>
              <w:rPr>
                <w:rFonts w:asciiTheme="majorHAnsi" w:hAnsiTheme="majorHAnsi" w:cstheme="majorHAnsi"/>
                <w:b/>
              </w:rPr>
            </w:pPr>
            <w:bookmarkStart w:id="0" w:name="_GoBack"/>
            <w:r>
              <w:rPr>
                <w:rFonts w:asciiTheme="majorHAnsi" w:hAnsiTheme="majorHAnsi" w:cstheme="majorHAnsi"/>
                <w:b/>
              </w:rPr>
              <w:t>[</w:t>
            </w:r>
            <w:r w:rsidR="005067EA" w:rsidRPr="005067EA">
              <w:rPr>
                <w:rFonts w:asciiTheme="majorHAnsi" w:hAnsiTheme="majorHAnsi" w:cstheme="majorHAnsi"/>
                <w:b/>
                <w:i/>
              </w:rPr>
              <w:t>Insert Customer Name</w:t>
            </w:r>
            <w:r>
              <w:rPr>
                <w:rFonts w:asciiTheme="majorHAnsi" w:hAnsiTheme="majorHAnsi" w:cstheme="majorHAnsi"/>
                <w:b/>
              </w:rPr>
              <w:t>]</w:t>
            </w:r>
            <w:r w:rsidRPr="002712FB">
              <w:rPr>
                <w:rFonts w:asciiTheme="majorHAnsi" w:hAnsiTheme="majorHAnsi" w:cstheme="majorHAnsi"/>
                <w:b/>
              </w:rPr>
              <w:t xml:space="preserve"> </w:t>
            </w:r>
            <w:bookmarkEnd w:id="0"/>
          </w:p>
        </w:tc>
      </w:tr>
      <w:tr w:rsidR="00521BDB" w14:paraId="0E9F232E" w14:textId="77777777" w:rsidTr="00152628">
        <w:trPr>
          <w:trHeight w:val="1197"/>
        </w:trPr>
        <w:tc>
          <w:tcPr>
            <w:tcW w:w="4860" w:type="dxa"/>
          </w:tcPr>
          <w:p w14:paraId="09CB67B1" w14:textId="77777777" w:rsidR="00521BDB" w:rsidRDefault="00521BDB" w:rsidP="00152628">
            <w:pPr>
              <w:spacing w:after="0"/>
              <w:rPr>
                <w:rFonts w:asciiTheme="majorHAnsi" w:hAnsiTheme="majorHAnsi" w:cstheme="majorHAnsi"/>
              </w:rPr>
            </w:pPr>
          </w:p>
          <w:p w14:paraId="5B55A72C" w14:textId="77777777" w:rsidR="00521BDB" w:rsidRDefault="00521BDB" w:rsidP="00152628">
            <w:pPr>
              <w:spacing w:after="0"/>
              <w:rPr>
                <w:rFonts w:asciiTheme="majorHAnsi" w:hAnsiTheme="majorHAnsi" w:cstheme="majorHAnsi"/>
              </w:rPr>
            </w:pPr>
            <w:r>
              <w:rPr>
                <w:rFonts w:asciiTheme="majorHAnsi" w:hAnsiTheme="majorHAnsi" w:cstheme="majorHAnsi"/>
              </w:rPr>
              <w:t>By: _____________________________</w:t>
            </w:r>
          </w:p>
          <w:p w14:paraId="7FFB33D3" w14:textId="77777777" w:rsidR="00521BDB" w:rsidRDefault="00521BDB" w:rsidP="00152628">
            <w:pPr>
              <w:spacing w:after="0"/>
              <w:rPr>
                <w:rFonts w:asciiTheme="majorHAnsi" w:hAnsiTheme="majorHAnsi" w:cstheme="majorHAnsi"/>
              </w:rPr>
            </w:pPr>
          </w:p>
          <w:p w14:paraId="6300149F" w14:textId="77777777" w:rsidR="00521BDB" w:rsidRDefault="00521BDB" w:rsidP="00152628">
            <w:pPr>
              <w:tabs>
                <w:tab w:val="left" w:pos="914"/>
              </w:tabs>
              <w:spacing w:after="0"/>
              <w:ind w:left="270"/>
              <w:rPr>
                <w:rFonts w:asciiTheme="majorHAnsi" w:hAnsiTheme="majorHAnsi" w:cstheme="majorHAnsi"/>
              </w:rPr>
            </w:pPr>
            <w:r>
              <w:rPr>
                <w:rFonts w:asciiTheme="majorHAnsi" w:hAnsiTheme="majorHAnsi" w:cstheme="majorHAnsi"/>
              </w:rPr>
              <w:t>Name:</w:t>
            </w:r>
            <w:r>
              <w:rPr>
                <w:rFonts w:asciiTheme="majorHAnsi" w:hAnsiTheme="majorHAnsi" w:cstheme="majorHAnsi"/>
              </w:rPr>
              <w:tab/>
              <w:t>_____________________</w:t>
            </w:r>
          </w:p>
          <w:p w14:paraId="1523F20E" w14:textId="77777777" w:rsidR="00521BDB" w:rsidRDefault="00521BDB" w:rsidP="00152628">
            <w:pPr>
              <w:tabs>
                <w:tab w:val="left" w:pos="914"/>
              </w:tabs>
              <w:spacing w:after="0"/>
              <w:ind w:left="270"/>
              <w:rPr>
                <w:rFonts w:asciiTheme="majorHAnsi" w:hAnsiTheme="majorHAnsi" w:cstheme="majorHAnsi"/>
              </w:rPr>
            </w:pPr>
          </w:p>
          <w:p w14:paraId="1F09B1D8" w14:textId="77777777" w:rsidR="00521BDB" w:rsidRDefault="00521BDB" w:rsidP="00152628">
            <w:pPr>
              <w:tabs>
                <w:tab w:val="left" w:pos="914"/>
              </w:tabs>
              <w:spacing w:after="0"/>
              <w:ind w:left="270"/>
              <w:rPr>
                <w:rFonts w:asciiTheme="majorHAnsi" w:hAnsiTheme="majorHAnsi" w:cstheme="majorHAnsi"/>
              </w:rPr>
            </w:pPr>
            <w:r>
              <w:rPr>
                <w:rFonts w:asciiTheme="majorHAnsi" w:hAnsiTheme="majorHAnsi" w:cstheme="majorHAnsi"/>
              </w:rPr>
              <w:t>Title:</w:t>
            </w:r>
            <w:r>
              <w:rPr>
                <w:rFonts w:asciiTheme="majorHAnsi" w:hAnsiTheme="majorHAnsi" w:cstheme="majorHAnsi"/>
              </w:rPr>
              <w:tab/>
              <w:t>_____________________</w:t>
            </w:r>
          </w:p>
          <w:p w14:paraId="51F86C22" w14:textId="77777777" w:rsidR="00521BDB" w:rsidRDefault="00521BDB" w:rsidP="00152628">
            <w:pPr>
              <w:tabs>
                <w:tab w:val="left" w:pos="914"/>
              </w:tabs>
              <w:spacing w:after="0"/>
              <w:ind w:left="270"/>
              <w:rPr>
                <w:rFonts w:asciiTheme="majorHAnsi" w:hAnsiTheme="majorHAnsi" w:cstheme="majorHAnsi"/>
              </w:rPr>
            </w:pPr>
          </w:p>
          <w:p w14:paraId="425924D3" w14:textId="77777777" w:rsidR="00521BDB" w:rsidRDefault="00521BDB" w:rsidP="00152628">
            <w:pPr>
              <w:tabs>
                <w:tab w:val="left" w:pos="914"/>
              </w:tabs>
              <w:spacing w:after="0"/>
              <w:ind w:left="270"/>
              <w:rPr>
                <w:rFonts w:asciiTheme="majorHAnsi" w:hAnsiTheme="majorHAnsi" w:cstheme="majorHAnsi"/>
              </w:rPr>
            </w:pPr>
            <w:r>
              <w:rPr>
                <w:rFonts w:asciiTheme="majorHAnsi" w:hAnsiTheme="majorHAnsi" w:cstheme="majorHAnsi"/>
              </w:rPr>
              <w:t>Date:</w:t>
            </w:r>
            <w:r>
              <w:rPr>
                <w:rFonts w:asciiTheme="majorHAnsi" w:hAnsiTheme="majorHAnsi" w:cstheme="majorHAnsi"/>
              </w:rPr>
              <w:tab/>
              <w:t>_____________________</w:t>
            </w:r>
          </w:p>
        </w:tc>
        <w:tc>
          <w:tcPr>
            <w:tcW w:w="4590" w:type="dxa"/>
          </w:tcPr>
          <w:p w14:paraId="70E68FA3" w14:textId="77777777" w:rsidR="00521BDB" w:rsidRDefault="00521BDB" w:rsidP="00152628">
            <w:pPr>
              <w:spacing w:after="0"/>
              <w:rPr>
                <w:rFonts w:asciiTheme="majorHAnsi" w:hAnsiTheme="majorHAnsi" w:cstheme="majorHAnsi"/>
              </w:rPr>
            </w:pPr>
          </w:p>
          <w:p w14:paraId="58214A03" w14:textId="77777777" w:rsidR="00521BDB" w:rsidRDefault="00521BDB" w:rsidP="00152628">
            <w:pPr>
              <w:spacing w:after="0"/>
              <w:rPr>
                <w:rFonts w:asciiTheme="majorHAnsi" w:hAnsiTheme="majorHAnsi" w:cstheme="majorHAnsi"/>
              </w:rPr>
            </w:pPr>
            <w:r>
              <w:rPr>
                <w:rFonts w:asciiTheme="majorHAnsi" w:hAnsiTheme="majorHAnsi" w:cstheme="majorHAnsi"/>
              </w:rPr>
              <w:t>By: _____________________________</w:t>
            </w:r>
          </w:p>
          <w:p w14:paraId="10214137" w14:textId="77777777" w:rsidR="00521BDB" w:rsidRDefault="00521BDB" w:rsidP="00152628">
            <w:pPr>
              <w:spacing w:after="0"/>
              <w:rPr>
                <w:rFonts w:asciiTheme="majorHAnsi" w:hAnsiTheme="majorHAnsi" w:cstheme="majorHAnsi"/>
              </w:rPr>
            </w:pPr>
          </w:p>
          <w:p w14:paraId="66CF9293" w14:textId="77777777" w:rsidR="00521BDB" w:rsidRDefault="00521BDB" w:rsidP="00152628">
            <w:pPr>
              <w:tabs>
                <w:tab w:val="left" w:pos="914"/>
              </w:tabs>
              <w:spacing w:after="0"/>
              <w:rPr>
                <w:rFonts w:asciiTheme="majorHAnsi" w:hAnsiTheme="majorHAnsi" w:cstheme="majorHAnsi"/>
              </w:rPr>
            </w:pPr>
            <w:r>
              <w:rPr>
                <w:rFonts w:asciiTheme="majorHAnsi" w:hAnsiTheme="majorHAnsi" w:cstheme="majorHAnsi"/>
              </w:rPr>
              <w:t>Name:</w:t>
            </w:r>
            <w:r>
              <w:rPr>
                <w:rFonts w:asciiTheme="majorHAnsi" w:hAnsiTheme="majorHAnsi" w:cstheme="majorHAnsi"/>
              </w:rPr>
              <w:tab/>
              <w:t>_____________________</w:t>
            </w:r>
          </w:p>
          <w:p w14:paraId="44370910" w14:textId="77777777" w:rsidR="00521BDB" w:rsidRDefault="00521BDB" w:rsidP="00152628">
            <w:pPr>
              <w:tabs>
                <w:tab w:val="left" w:pos="914"/>
              </w:tabs>
              <w:spacing w:after="0"/>
              <w:ind w:left="270"/>
              <w:rPr>
                <w:rFonts w:asciiTheme="majorHAnsi" w:hAnsiTheme="majorHAnsi" w:cstheme="majorHAnsi"/>
              </w:rPr>
            </w:pPr>
          </w:p>
          <w:p w14:paraId="0E6387BA" w14:textId="77777777" w:rsidR="00521BDB" w:rsidRDefault="00521BDB" w:rsidP="00152628">
            <w:pPr>
              <w:tabs>
                <w:tab w:val="left" w:pos="914"/>
              </w:tabs>
              <w:spacing w:after="0"/>
              <w:rPr>
                <w:rFonts w:asciiTheme="majorHAnsi" w:hAnsiTheme="majorHAnsi" w:cstheme="majorHAnsi"/>
              </w:rPr>
            </w:pPr>
            <w:r>
              <w:rPr>
                <w:rFonts w:asciiTheme="majorHAnsi" w:hAnsiTheme="majorHAnsi" w:cstheme="majorHAnsi"/>
              </w:rPr>
              <w:t>Title:</w:t>
            </w:r>
            <w:r>
              <w:rPr>
                <w:rFonts w:asciiTheme="majorHAnsi" w:hAnsiTheme="majorHAnsi" w:cstheme="majorHAnsi"/>
              </w:rPr>
              <w:tab/>
              <w:t>_____________________</w:t>
            </w:r>
          </w:p>
          <w:p w14:paraId="1B5AA70A" w14:textId="77777777" w:rsidR="00521BDB" w:rsidRDefault="00521BDB" w:rsidP="00152628">
            <w:pPr>
              <w:tabs>
                <w:tab w:val="left" w:pos="914"/>
              </w:tabs>
              <w:spacing w:after="0"/>
              <w:ind w:left="270"/>
              <w:rPr>
                <w:rFonts w:asciiTheme="majorHAnsi" w:hAnsiTheme="majorHAnsi" w:cstheme="majorHAnsi"/>
              </w:rPr>
            </w:pPr>
          </w:p>
          <w:p w14:paraId="7FC6F482" w14:textId="77777777" w:rsidR="00521BDB" w:rsidRDefault="00521BDB" w:rsidP="00152628">
            <w:pPr>
              <w:tabs>
                <w:tab w:val="left" w:pos="914"/>
              </w:tabs>
              <w:spacing w:after="0"/>
              <w:rPr>
                <w:rFonts w:asciiTheme="majorHAnsi" w:hAnsiTheme="majorHAnsi" w:cstheme="majorHAnsi"/>
              </w:rPr>
            </w:pPr>
            <w:r>
              <w:rPr>
                <w:rFonts w:asciiTheme="majorHAnsi" w:hAnsiTheme="majorHAnsi" w:cstheme="majorHAnsi"/>
              </w:rPr>
              <w:t>Date:</w:t>
            </w:r>
            <w:r>
              <w:rPr>
                <w:rFonts w:asciiTheme="majorHAnsi" w:hAnsiTheme="majorHAnsi" w:cstheme="majorHAnsi"/>
              </w:rPr>
              <w:tab/>
              <w:t>_____________________</w:t>
            </w:r>
          </w:p>
        </w:tc>
      </w:tr>
    </w:tbl>
    <w:p w14:paraId="0E564B70" w14:textId="77777777" w:rsidR="00521BDB" w:rsidRDefault="00521BDB" w:rsidP="00521BDB">
      <w:pPr>
        <w:pStyle w:val="Heading2"/>
        <w:numPr>
          <w:ilvl w:val="0"/>
          <w:numId w:val="0"/>
        </w:numPr>
      </w:pPr>
    </w:p>
    <w:p w14:paraId="5393E51C" w14:textId="77777777" w:rsidR="00521BDB" w:rsidRDefault="00521BDB" w:rsidP="00521BDB">
      <w:pPr>
        <w:pStyle w:val="Heading2"/>
        <w:numPr>
          <w:ilvl w:val="0"/>
          <w:numId w:val="0"/>
        </w:numPr>
        <w:ind w:left="1440"/>
      </w:pPr>
    </w:p>
    <w:sectPr w:rsidR="00521BDB">
      <w:footerReference w:type="even" r:id="rId9"/>
      <w:footerReference w:type="default" r:id="rId10"/>
      <w:footerReference w:type="first" r:id="rId11"/>
      <w:pgSz w:w="12240" w:h="15840" w:code="1"/>
      <w:pgMar w:top="1440" w:right="1440" w:bottom="1440" w:left="1440" w:header="720" w:footer="432"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1C935D" w14:textId="77777777" w:rsidR="00F5217C" w:rsidRDefault="00F5217C">
      <w:pPr>
        <w:rPr>
          <w:rFonts w:asciiTheme="minorHAnsi" w:hAnsiTheme="minorHAnsi"/>
        </w:rPr>
      </w:pPr>
      <w:r>
        <w:rPr>
          <w:rFonts w:asciiTheme="minorHAnsi" w:hAnsiTheme="minorHAnsi"/>
        </w:rPr>
        <w:separator/>
      </w:r>
    </w:p>
  </w:endnote>
  <w:endnote w:type="continuationSeparator" w:id="0">
    <w:p w14:paraId="6136CF1F" w14:textId="77777777" w:rsidR="00F5217C" w:rsidRDefault="00F5217C">
      <w:pPr>
        <w:rPr>
          <w:rFonts w:asciiTheme="minorHAnsi" w:hAnsiTheme="minorHAnsi"/>
        </w:rPr>
      </w:pPr>
      <w:r>
        <w:rPr>
          <w:rFonts w:asciiTheme="minorHAnsi" w:hAnsiTheme="minorHAnsi"/>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Times New Roman Bold">
    <w:panose1 w:val="020B06040202020202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ACFF" w:usb2="00000009" w:usb3="00000000" w:csb0="000001FF" w:csb1="00000000"/>
  </w:font>
  <w:font w:name="Consolas">
    <w:panose1 w:val="020B0609020204030204"/>
    <w:charset w:val="00"/>
    <w:family w:val="modern"/>
    <w:pitch w:val="fixed"/>
    <w:sig w:usb0="E10002FF" w:usb1="4000FCFF" w:usb2="00000009"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593129334"/>
      <w:docPartObj>
        <w:docPartGallery w:val="Page Numbers (Bottom of Page)"/>
        <w:docPartUnique/>
      </w:docPartObj>
    </w:sdtPr>
    <w:sdtEndPr>
      <w:rPr>
        <w:rStyle w:val="PageNumber"/>
      </w:rPr>
    </w:sdtEndPr>
    <w:sdtContent>
      <w:p w14:paraId="1BAFD3D1" w14:textId="7F8E5057" w:rsidR="005A087F" w:rsidRDefault="005A087F" w:rsidP="00711D2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E5C271B" w14:textId="77777777" w:rsidR="005A087F" w:rsidRDefault="005A08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364451748"/>
      <w:docPartObj>
        <w:docPartGallery w:val="Page Numbers (Bottom of Page)"/>
        <w:docPartUnique/>
      </w:docPartObj>
    </w:sdtPr>
    <w:sdtEndPr>
      <w:rPr>
        <w:rStyle w:val="PageNumber"/>
      </w:rPr>
    </w:sdtEndPr>
    <w:sdtContent>
      <w:p w14:paraId="2DF17555" w14:textId="2D587EF3" w:rsidR="005A087F" w:rsidRDefault="005A087F" w:rsidP="00711D2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10</w:t>
        </w:r>
        <w:r>
          <w:rPr>
            <w:rStyle w:val="PageNumber"/>
          </w:rPr>
          <w:fldChar w:fldCharType="end"/>
        </w:r>
      </w:p>
    </w:sdtContent>
  </w:sdt>
  <w:p w14:paraId="4FCD642E" w14:textId="77777777" w:rsidR="005A087F" w:rsidRDefault="005A087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676917596"/>
      <w:docPartObj>
        <w:docPartGallery w:val="Page Numbers (Bottom of Page)"/>
        <w:docPartUnique/>
      </w:docPartObj>
    </w:sdtPr>
    <w:sdtEndPr>
      <w:rPr>
        <w:rStyle w:val="PageNumber"/>
      </w:rPr>
    </w:sdtEndPr>
    <w:sdtContent>
      <w:p w14:paraId="37C0C677" w14:textId="6067D2B3" w:rsidR="009429CE" w:rsidRDefault="009429CE" w:rsidP="00711D2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E8CE51F" w14:textId="2B92E16A" w:rsidR="00315D4F" w:rsidRDefault="002B5EC3">
    <w:pPr>
      <w:pStyle w:val="Footer"/>
      <w:spacing w:after="0"/>
      <w:rPr>
        <w:rFonts w:asciiTheme="minorHAnsi" w:hAnsiTheme="minorHAnsi"/>
      </w:rPr>
    </w:pPr>
    <w:r>
      <w:rPr>
        <w:rFonts w:asciiTheme="minorHAnsi" w:hAnsiTheme="minorHAnsi"/>
      </w:rPr>
      <w:tab/>
    </w:r>
  </w:p>
  <w:p w14:paraId="3E3EBD70" w14:textId="3CDE7201" w:rsidR="00315D4F" w:rsidRDefault="00315D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AA07CD" w14:textId="77777777" w:rsidR="00F5217C" w:rsidRDefault="00F5217C">
      <w:pPr>
        <w:rPr>
          <w:rFonts w:asciiTheme="minorHAnsi" w:hAnsiTheme="minorHAnsi"/>
        </w:rPr>
      </w:pPr>
      <w:r>
        <w:rPr>
          <w:rFonts w:asciiTheme="minorHAnsi" w:hAnsiTheme="minorHAnsi"/>
        </w:rPr>
        <w:separator/>
      </w:r>
    </w:p>
  </w:footnote>
  <w:footnote w:type="continuationSeparator" w:id="0">
    <w:p w14:paraId="73AAFE96" w14:textId="77777777" w:rsidR="00F5217C" w:rsidRDefault="00F5217C">
      <w:pPr>
        <w:rPr>
          <w:rFonts w:asciiTheme="minorHAnsi" w:hAnsiTheme="minorHAnsi"/>
        </w:rPr>
      </w:pPr>
      <w:r>
        <w:rPr>
          <w:rFonts w:asciiTheme="minorHAnsi" w:hAnsiTheme="minorHAnsi"/>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39CAD8A"/>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BF747B1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DD5C9070"/>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95F68A5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5BA438B0"/>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BE46AC4"/>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56E2190"/>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9D80DD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198395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A80C3E8A"/>
    <w:lvl w:ilvl="0">
      <w:start w:val="1"/>
      <w:numFmt w:val="bullet"/>
      <w:pStyle w:val="ListBullet"/>
      <w:lvlText w:val=""/>
      <w:lvlJc w:val="left"/>
      <w:pPr>
        <w:tabs>
          <w:tab w:val="num" w:pos="720"/>
        </w:tabs>
        <w:ind w:left="720" w:hanging="720"/>
      </w:pPr>
      <w:rPr>
        <w:rFonts w:ascii="Symbol" w:hAnsi="Symbol" w:hint="default"/>
      </w:rPr>
    </w:lvl>
  </w:abstractNum>
  <w:abstractNum w:abstractNumId="10" w15:restartNumberingAfterBreak="0">
    <w:nsid w:val="0C1C4313"/>
    <w:multiLevelType w:val="hybridMultilevel"/>
    <w:tmpl w:val="145EC4EC"/>
    <w:lvl w:ilvl="0" w:tplc="B3B6F2F4">
      <w:start w:val="1"/>
      <w:numFmt w:val="bullet"/>
      <w:lvlText w:val=""/>
      <w:lvlJc w:val="left"/>
      <w:pPr>
        <w:tabs>
          <w:tab w:val="num" w:pos="720"/>
        </w:tabs>
        <w:ind w:left="720" w:hanging="72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D407BCB"/>
    <w:multiLevelType w:val="multilevel"/>
    <w:tmpl w:val="DA20C1A4"/>
    <w:name w:val="Legal Numbering (2 Levels)"/>
    <w:lvl w:ilvl="0">
      <w:start w:val="1"/>
      <w:numFmt w:val="decimal"/>
      <w:pStyle w:val="Heading1"/>
      <w:lvlText w:val="%1."/>
      <w:lvlJc w:val="left"/>
      <w:pPr>
        <w:tabs>
          <w:tab w:val="num" w:pos="720"/>
        </w:tabs>
        <w:ind w:left="720" w:hanging="720"/>
      </w:pPr>
      <w:rPr>
        <w:rFonts w:hint="default"/>
        <w:b/>
        <w:caps/>
        <w:smallCaps w:val="0"/>
        <w:color w:val="010000"/>
        <w:u w:val="none"/>
      </w:rPr>
    </w:lvl>
    <w:lvl w:ilvl="1">
      <w:start w:val="1"/>
      <w:numFmt w:val="decimal"/>
      <w:pStyle w:val="Heading2"/>
      <w:isLgl/>
      <w:lvlText w:val="%1.%2"/>
      <w:lvlJc w:val="left"/>
      <w:pPr>
        <w:tabs>
          <w:tab w:val="num" w:pos="1440"/>
        </w:tabs>
        <w:ind w:left="1440" w:hanging="720"/>
      </w:pPr>
      <w:rPr>
        <w:rFonts w:hint="default"/>
        <w:b w:val="0"/>
        <w:caps w:val="0"/>
        <w:color w:val="010000"/>
        <w:u w:val="none"/>
      </w:rPr>
    </w:lvl>
    <w:lvl w:ilvl="2">
      <w:start w:val="1"/>
      <w:numFmt w:val="upperLetter"/>
      <w:pStyle w:val="Heading3"/>
      <w:lvlText w:val="(%3)"/>
      <w:lvlJc w:val="left"/>
      <w:pPr>
        <w:tabs>
          <w:tab w:val="num" w:pos="2160"/>
        </w:tabs>
        <w:ind w:left="2160" w:hanging="720"/>
      </w:pPr>
      <w:rPr>
        <w:rFonts w:hint="default"/>
        <w:b w:val="0"/>
        <w:caps w:val="0"/>
        <w:color w:val="010000"/>
        <w:u w:val="none"/>
      </w:rPr>
    </w:lvl>
    <w:lvl w:ilvl="3">
      <w:start w:val="1"/>
      <w:numFmt w:val="decimal"/>
      <w:pStyle w:val="Heading4"/>
      <w:lvlText w:val="(%4)"/>
      <w:lvlJc w:val="left"/>
      <w:pPr>
        <w:tabs>
          <w:tab w:val="num" w:pos="2880"/>
        </w:tabs>
        <w:ind w:left="2880" w:hanging="720"/>
      </w:pPr>
      <w:rPr>
        <w:rFonts w:hint="default"/>
        <w:b w:val="0"/>
        <w:caps w:val="0"/>
        <w:color w:val="010000"/>
        <w:u w:val="none"/>
      </w:rPr>
    </w:lvl>
    <w:lvl w:ilvl="4">
      <w:start w:val="1"/>
      <w:numFmt w:val="decimal"/>
      <w:pStyle w:val="Heading5"/>
      <w:lvlText w:val="(%5)"/>
      <w:lvlJc w:val="left"/>
      <w:pPr>
        <w:tabs>
          <w:tab w:val="num" w:pos="3600"/>
        </w:tabs>
        <w:ind w:left="3600" w:hanging="720"/>
      </w:pPr>
      <w:rPr>
        <w:rFonts w:hint="default"/>
        <w:caps w:val="0"/>
        <w:color w:val="010000"/>
        <w:u w:val="none"/>
      </w:rPr>
    </w:lvl>
    <w:lvl w:ilvl="5">
      <w:start w:val="1"/>
      <w:numFmt w:val="lowerLetter"/>
      <w:pStyle w:val="Heading6"/>
      <w:lvlText w:val="%6."/>
      <w:lvlJc w:val="left"/>
      <w:pPr>
        <w:tabs>
          <w:tab w:val="num" w:pos="4320"/>
        </w:tabs>
        <w:ind w:left="4320" w:hanging="720"/>
      </w:pPr>
      <w:rPr>
        <w:rFonts w:hint="default"/>
        <w:caps w:val="0"/>
        <w:color w:val="010000"/>
        <w:u w:val="none"/>
      </w:rPr>
    </w:lvl>
    <w:lvl w:ilvl="6">
      <w:start w:val="1"/>
      <w:numFmt w:val="lowerRoman"/>
      <w:pStyle w:val="Heading7"/>
      <w:lvlText w:val="%7."/>
      <w:lvlJc w:val="left"/>
      <w:pPr>
        <w:tabs>
          <w:tab w:val="num" w:pos="5040"/>
        </w:tabs>
        <w:ind w:left="5040" w:hanging="720"/>
      </w:pPr>
      <w:rPr>
        <w:rFonts w:hint="default"/>
        <w:caps w:val="0"/>
        <w:color w:val="010000"/>
        <w:u w:val="none"/>
      </w:rPr>
    </w:lvl>
    <w:lvl w:ilvl="7">
      <w:start w:val="1"/>
      <w:numFmt w:val="decimal"/>
      <w:pStyle w:val="Heading8"/>
      <w:lvlText w:val="%8)"/>
      <w:lvlJc w:val="left"/>
      <w:pPr>
        <w:tabs>
          <w:tab w:val="num" w:pos="5760"/>
        </w:tabs>
        <w:ind w:left="5760" w:hanging="720"/>
      </w:pPr>
      <w:rPr>
        <w:rFonts w:hint="default"/>
        <w:caps w:val="0"/>
        <w:color w:val="010000"/>
        <w:u w:val="none"/>
      </w:rPr>
    </w:lvl>
    <w:lvl w:ilvl="8">
      <w:start w:val="1"/>
      <w:numFmt w:val="lowerLetter"/>
      <w:pStyle w:val="Heading9"/>
      <w:lvlText w:val="%9)"/>
      <w:lvlJc w:val="left"/>
      <w:pPr>
        <w:tabs>
          <w:tab w:val="num" w:pos="6480"/>
        </w:tabs>
        <w:ind w:left="6480" w:hanging="720"/>
      </w:pPr>
      <w:rPr>
        <w:rFonts w:hint="default"/>
        <w:caps w:val="0"/>
        <w:color w:val="010000"/>
        <w:u w:val="none"/>
      </w:rPr>
    </w:lvl>
  </w:abstractNum>
  <w:abstractNum w:abstractNumId="12" w15:restartNumberingAfterBreak="0">
    <w:nsid w:val="31DA31E5"/>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3" w15:restartNumberingAfterBreak="0">
    <w:nsid w:val="64100A5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9200F37"/>
    <w:multiLevelType w:val="multilevel"/>
    <w:tmpl w:val="DD18939C"/>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5" w15:restartNumberingAfterBreak="0">
    <w:nsid w:val="7BAD7CC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0"/>
  </w:num>
  <w:num w:numId="2">
    <w:abstractNumId w:val="10"/>
    <w:lvlOverride w:ilvl="0">
      <w:startOverride w:val="1"/>
    </w:lvlOverride>
  </w:num>
  <w:num w:numId="3">
    <w:abstractNumId w:val="14"/>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3"/>
  </w:num>
  <w:num w:numId="15">
    <w:abstractNumId w:val="15"/>
  </w:num>
  <w:num w:numId="16">
    <w:abstractNumId w:val="12"/>
  </w:num>
  <w:num w:numId="17">
    <w:abstractNumId w:val="9"/>
  </w:num>
  <w:num w:numId="18">
    <w:abstractNumId w:val="9"/>
  </w:num>
  <w:num w:numId="19">
    <w:abstractNumId w:val="11"/>
  </w:num>
  <w:num w:numId="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num>
  <w:num w:numId="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MRemoved" w:val="True"/>
    <w:docVar w:name="DateRemoved" w:val="False"/>
    <w:docVar w:name="DefaultNumberOfLevelsInTOCForThisScheme" w:val="3"/>
    <w:docVar w:name="DocIDAllPagesExceptFirst" w:val="False"/>
    <w:docVar w:name="DocIDAuthor" w:val="False"/>
    <w:docVar w:name="DocIDClientMatter" w:val="False"/>
    <w:docVar w:name="DocIDDate" w:val="True"/>
    <w:docVar w:name="DocIDDateText" w:val="False"/>
    <w:docVar w:name="DocIDDefaultsApplied" w:val="False"/>
    <w:docVar w:name="DocIDDraft" w:val="False"/>
    <w:docVar w:name="DocIDEOD" w:val="False"/>
    <w:docVar w:name="DocIDFileName" w:val="False"/>
    <w:docVar w:name="DocIDFooter" w:val="True"/>
    <w:docVar w:name="DocIDLibrary" w:val="True"/>
    <w:docVar w:name="DocIDLongDate" w:val="False"/>
    <w:docVar w:name="DocIDPrefix" w:val="False"/>
    <w:docVar w:name="DocIDPrintedDate" w:val="False"/>
    <w:docVar w:name="DocIDRemoved" w:val="False"/>
    <w:docVar w:name="DocIDTime" w:val="False"/>
    <w:docVar w:name="DocIDType" w:val="AllPages"/>
    <w:docVar w:name="DocIDTypist" w:val="False"/>
    <w:docVar w:name="DocIDVersion" w:val="True"/>
    <w:docVar w:name="DraftRemoved" w:val="True"/>
    <w:docVar w:name="LastSchemeChoice" w:val="Legal Numbering (2 Levels)"/>
    <w:docVar w:name="LastSchemeUniqueID" w:val="116"/>
    <w:docVar w:name="LegacyDocIDRemoved" w:val="True"/>
    <w:docVar w:name="Option0True" w:val="True"/>
    <w:docVar w:name="Option1True" w:val="False"/>
    <w:docVar w:name="Option2True" w:val="True"/>
    <w:docVar w:name="Option3True" w:val="False"/>
    <w:docVar w:name="Option4True" w:val="False"/>
    <w:docVar w:name="Option5True" w:val="False"/>
    <w:docVar w:name="TimeRemoved" w:val="True"/>
  </w:docVars>
  <w:rsids>
    <w:rsidRoot w:val="00315D4F"/>
    <w:rsid w:val="00031F69"/>
    <w:rsid w:val="00034CD6"/>
    <w:rsid w:val="00052FD3"/>
    <w:rsid w:val="0007309B"/>
    <w:rsid w:val="000962C9"/>
    <w:rsid w:val="00096A25"/>
    <w:rsid w:val="000A14DE"/>
    <w:rsid w:val="000A3A31"/>
    <w:rsid w:val="000E1652"/>
    <w:rsid w:val="00110203"/>
    <w:rsid w:val="001F15D8"/>
    <w:rsid w:val="002A2495"/>
    <w:rsid w:val="002B5EC3"/>
    <w:rsid w:val="002E6475"/>
    <w:rsid w:val="002F1759"/>
    <w:rsid w:val="00315D4F"/>
    <w:rsid w:val="00394783"/>
    <w:rsid w:val="003B2498"/>
    <w:rsid w:val="00425721"/>
    <w:rsid w:val="00447859"/>
    <w:rsid w:val="004A7FEB"/>
    <w:rsid w:val="004D1B59"/>
    <w:rsid w:val="005067EA"/>
    <w:rsid w:val="00507F88"/>
    <w:rsid w:val="00521BDB"/>
    <w:rsid w:val="00583129"/>
    <w:rsid w:val="005A087F"/>
    <w:rsid w:val="005F3257"/>
    <w:rsid w:val="006031D5"/>
    <w:rsid w:val="007549B9"/>
    <w:rsid w:val="00755BEE"/>
    <w:rsid w:val="00800D1B"/>
    <w:rsid w:val="008558FD"/>
    <w:rsid w:val="008717D5"/>
    <w:rsid w:val="00882C3B"/>
    <w:rsid w:val="008B238F"/>
    <w:rsid w:val="008D5162"/>
    <w:rsid w:val="009429CE"/>
    <w:rsid w:val="0095330A"/>
    <w:rsid w:val="00962CEB"/>
    <w:rsid w:val="009709E4"/>
    <w:rsid w:val="00985281"/>
    <w:rsid w:val="009A6552"/>
    <w:rsid w:val="00A561E1"/>
    <w:rsid w:val="00A61646"/>
    <w:rsid w:val="00AE19E7"/>
    <w:rsid w:val="00B66E31"/>
    <w:rsid w:val="00B8762B"/>
    <w:rsid w:val="00B951DA"/>
    <w:rsid w:val="00C67535"/>
    <w:rsid w:val="00C72B44"/>
    <w:rsid w:val="00CB5A20"/>
    <w:rsid w:val="00CE07E1"/>
    <w:rsid w:val="00D05CAB"/>
    <w:rsid w:val="00D84632"/>
    <w:rsid w:val="00DA1C79"/>
    <w:rsid w:val="00E53EE1"/>
    <w:rsid w:val="00F4029D"/>
    <w:rsid w:val="00F5217C"/>
    <w:rsid w:val="00F66FF0"/>
    <w:rsid w:val="00F75E89"/>
    <w:rsid w:val="00FB187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672499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qFormat="1"/>
    <w:lsdException w:name="Subtle Reference" w:uiPriority="3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pPr>
      <w:spacing w:after="240"/>
    </w:pPr>
    <w:rPr>
      <w:rFonts w:eastAsia="Times New Roman" w:cs="Times New Roman"/>
    </w:rPr>
  </w:style>
  <w:style w:type="paragraph" w:styleId="Heading1">
    <w:name w:val="heading 1"/>
    <w:basedOn w:val="Normal"/>
    <w:link w:val="Heading1Char"/>
    <w:qFormat/>
    <w:pPr>
      <w:keepLines/>
      <w:numPr>
        <w:numId w:val="19"/>
      </w:numPr>
      <w:jc w:val="both"/>
      <w:outlineLvl w:val="0"/>
    </w:pPr>
    <w:rPr>
      <w:b/>
      <w:color w:val="000000"/>
      <w:szCs w:val="32"/>
      <w:u w:color="000000"/>
    </w:rPr>
  </w:style>
  <w:style w:type="paragraph" w:styleId="Heading2">
    <w:name w:val="heading 2"/>
    <w:basedOn w:val="Normal"/>
    <w:link w:val="Heading2Char"/>
    <w:qFormat/>
    <w:pPr>
      <w:numPr>
        <w:ilvl w:val="1"/>
        <w:numId w:val="19"/>
      </w:numPr>
      <w:jc w:val="both"/>
      <w:outlineLvl w:val="1"/>
    </w:pPr>
    <w:rPr>
      <w:color w:val="000000"/>
      <w:szCs w:val="28"/>
      <w:u w:color="000000"/>
    </w:rPr>
  </w:style>
  <w:style w:type="paragraph" w:styleId="Heading3">
    <w:name w:val="heading 3"/>
    <w:basedOn w:val="Normal"/>
    <w:link w:val="Heading3Char"/>
    <w:qFormat/>
    <w:pPr>
      <w:numPr>
        <w:ilvl w:val="2"/>
        <w:numId w:val="19"/>
      </w:numPr>
      <w:jc w:val="both"/>
      <w:outlineLvl w:val="2"/>
    </w:pPr>
    <w:rPr>
      <w:color w:val="000000"/>
      <w:szCs w:val="26"/>
      <w:u w:color="000000"/>
    </w:rPr>
  </w:style>
  <w:style w:type="paragraph" w:styleId="Heading4">
    <w:name w:val="heading 4"/>
    <w:basedOn w:val="Normal"/>
    <w:link w:val="Heading4Char"/>
    <w:qFormat/>
    <w:pPr>
      <w:numPr>
        <w:ilvl w:val="3"/>
        <w:numId w:val="19"/>
      </w:numPr>
      <w:jc w:val="both"/>
      <w:outlineLvl w:val="3"/>
    </w:pPr>
    <w:rPr>
      <w:color w:val="000000"/>
      <w:szCs w:val="28"/>
      <w:u w:color="000000"/>
    </w:rPr>
  </w:style>
  <w:style w:type="paragraph" w:styleId="Heading5">
    <w:name w:val="heading 5"/>
    <w:basedOn w:val="Normal"/>
    <w:link w:val="Heading5Char"/>
    <w:qFormat/>
    <w:pPr>
      <w:numPr>
        <w:ilvl w:val="4"/>
        <w:numId w:val="19"/>
      </w:numPr>
      <w:jc w:val="both"/>
      <w:outlineLvl w:val="4"/>
    </w:pPr>
    <w:rPr>
      <w:color w:val="000000"/>
      <w:szCs w:val="26"/>
      <w:u w:color="000000"/>
    </w:rPr>
  </w:style>
  <w:style w:type="paragraph" w:styleId="Heading6">
    <w:name w:val="heading 6"/>
    <w:basedOn w:val="Normal"/>
    <w:link w:val="Heading6Char"/>
    <w:qFormat/>
    <w:pPr>
      <w:numPr>
        <w:ilvl w:val="5"/>
        <w:numId w:val="19"/>
      </w:numPr>
      <w:jc w:val="both"/>
      <w:outlineLvl w:val="5"/>
    </w:pPr>
    <w:rPr>
      <w:color w:val="000000"/>
      <w:szCs w:val="22"/>
      <w:u w:color="000000"/>
    </w:rPr>
  </w:style>
  <w:style w:type="paragraph" w:styleId="Heading7">
    <w:name w:val="heading 7"/>
    <w:basedOn w:val="Normal"/>
    <w:link w:val="Heading7Char"/>
    <w:qFormat/>
    <w:pPr>
      <w:numPr>
        <w:ilvl w:val="6"/>
        <w:numId w:val="19"/>
      </w:numPr>
      <w:jc w:val="both"/>
      <w:outlineLvl w:val="6"/>
    </w:pPr>
    <w:rPr>
      <w:color w:val="000000"/>
      <w:u w:color="000000"/>
    </w:rPr>
  </w:style>
  <w:style w:type="paragraph" w:styleId="Heading8">
    <w:name w:val="heading 8"/>
    <w:basedOn w:val="Normal"/>
    <w:link w:val="Heading8Char"/>
    <w:qFormat/>
    <w:pPr>
      <w:numPr>
        <w:ilvl w:val="7"/>
        <w:numId w:val="19"/>
      </w:numPr>
      <w:jc w:val="both"/>
      <w:outlineLvl w:val="7"/>
    </w:pPr>
    <w:rPr>
      <w:color w:val="000000"/>
      <w:u w:color="000000"/>
    </w:rPr>
  </w:style>
  <w:style w:type="paragraph" w:styleId="Heading9">
    <w:name w:val="heading 9"/>
    <w:basedOn w:val="Normal"/>
    <w:link w:val="Heading9Char"/>
    <w:qFormat/>
    <w:pPr>
      <w:numPr>
        <w:ilvl w:val="8"/>
        <w:numId w:val="19"/>
      </w:numPr>
      <w:jc w:val="both"/>
      <w:outlineLvl w:val="8"/>
    </w:pPr>
    <w:rPr>
      <w:color w:val="000000"/>
      <w:szCs w:val="22"/>
      <w:u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680"/>
        <w:tab w:val="right" w:pos="9360"/>
      </w:tabs>
    </w:pPr>
  </w:style>
  <w:style w:type="character" w:customStyle="1" w:styleId="HeaderChar">
    <w:name w:val="Header Char"/>
    <w:basedOn w:val="DefaultParagraphFont"/>
    <w:link w:val="Header"/>
    <w:rPr>
      <w:rFonts w:eastAsia="Times New Roman" w:cs="Times New Roman"/>
    </w:rPr>
  </w:style>
  <w:style w:type="paragraph" w:styleId="Footer">
    <w:name w:val="footer"/>
    <w:basedOn w:val="Normal"/>
    <w:link w:val="FooterChar"/>
    <w:uiPriority w:val="99"/>
    <w:pPr>
      <w:tabs>
        <w:tab w:val="center" w:pos="4680"/>
        <w:tab w:val="right" w:pos="9360"/>
      </w:tabs>
    </w:pPr>
  </w:style>
  <w:style w:type="character" w:customStyle="1" w:styleId="FooterChar">
    <w:name w:val="Footer Char"/>
    <w:basedOn w:val="DefaultParagraphFont"/>
    <w:link w:val="Footer"/>
    <w:uiPriority w:val="99"/>
    <w:rPr>
      <w:rFonts w:eastAsia="Times New Roman" w:cs="Times New Roman"/>
    </w:rPr>
  </w:style>
  <w:style w:type="character" w:customStyle="1" w:styleId="DocID">
    <w:name w:val="DocID"/>
    <w:rPr>
      <w:sz w:val="18"/>
    </w:rPr>
  </w:style>
  <w:style w:type="character" w:customStyle="1" w:styleId="Heading1Char">
    <w:name w:val="Heading 1 Char"/>
    <w:basedOn w:val="DefaultParagraphFont"/>
    <w:link w:val="Heading1"/>
    <w:rPr>
      <w:rFonts w:eastAsia="Times New Roman" w:cs="Times New Roman"/>
      <w:b/>
      <w:color w:val="000000"/>
      <w:szCs w:val="32"/>
      <w:u w:color="000000"/>
    </w:rPr>
  </w:style>
  <w:style w:type="paragraph" w:styleId="EndnoteText">
    <w:name w:val="endnote text"/>
    <w:basedOn w:val="Normal"/>
    <w:next w:val="EndnoteTextMore"/>
    <w:link w:val="EndnoteTextChar"/>
    <w:semiHidden/>
    <w:pPr>
      <w:ind w:left="720" w:hanging="720"/>
    </w:pPr>
    <w:rPr>
      <w:szCs w:val="20"/>
    </w:rPr>
  </w:style>
  <w:style w:type="character" w:customStyle="1" w:styleId="EndnoteTextChar">
    <w:name w:val="Endnote Text Char"/>
    <w:basedOn w:val="DefaultParagraphFont"/>
    <w:link w:val="EndnoteText"/>
    <w:semiHidden/>
    <w:rPr>
      <w:rFonts w:eastAsia="Times New Roman" w:cs="Times New Roman"/>
      <w:szCs w:val="20"/>
    </w:rPr>
  </w:style>
  <w:style w:type="paragraph" w:styleId="FootnoteText">
    <w:name w:val="footnote text"/>
    <w:basedOn w:val="Normal"/>
    <w:next w:val="FootnoteTextMore"/>
    <w:link w:val="FootnoteTextChar"/>
    <w:pPr>
      <w:spacing w:after="200"/>
    </w:pPr>
    <w:rPr>
      <w:sz w:val="20"/>
      <w:szCs w:val="20"/>
    </w:rPr>
  </w:style>
  <w:style w:type="character" w:customStyle="1" w:styleId="FootnoteTextChar">
    <w:name w:val="Footnote Text Char"/>
    <w:basedOn w:val="DefaultParagraphFont"/>
    <w:link w:val="FootnoteText"/>
    <w:rPr>
      <w:rFonts w:eastAsia="Times New Roman" w:cs="Times New Roman"/>
      <w:sz w:val="20"/>
      <w:szCs w:val="20"/>
    </w:rPr>
  </w:style>
  <w:style w:type="paragraph" w:customStyle="1" w:styleId="EndnoteTextMore">
    <w:name w:val="Endnote Text More"/>
    <w:basedOn w:val="Normal"/>
    <w:pPr>
      <w:ind w:left="720"/>
    </w:pPr>
  </w:style>
  <w:style w:type="paragraph" w:customStyle="1" w:styleId="FootnoteTextMore">
    <w:name w:val="Footnote Text More"/>
    <w:basedOn w:val="Normal"/>
    <w:pPr>
      <w:spacing w:after="200"/>
      <w:ind w:left="720"/>
    </w:pPr>
    <w:rPr>
      <w:sz w:val="20"/>
    </w:rPr>
  </w:style>
  <w:style w:type="character" w:customStyle="1" w:styleId="Heading2Char">
    <w:name w:val="Heading 2 Char"/>
    <w:basedOn w:val="DefaultParagraphFont"/>
    <w:link w:val="Heading2"/>
    <w:rPr>
      <w:rFonts w:eastAsia="Times New Roman" w:cs="Times New Roman"/>
      <w:color w:val="000000"/>
      <w:szCs w:val="28"/>
      <w:u w:color="000000"/>
    </w:rPr>
  </w:style>
  <w:style w:type="character" w:customStyle="1" w:styleId="Heading3Char">
    <w:name w:val="Heading 3 Char"/>
    <w:basedOn w:val="DefaultParagraphFont"/>
    <w:link w:val="Heading3"/>
    <w:rPr>
      <w:rFonts w:eastAsia="Times New Roman" w:cs="Times New Roman"/>
      <w:color w:val="000000"/>
      <w:szCs w:val="26"/>
      <w:u w:color="000000"/>
    </w:rPr>
  </w:style>
  <w:style w:type="character" w:customStyle="1" w:styleId="Heading4Char">
    <w:name w:val="Heading 4 Char"/>
    <w:basedOn w:val="DefaultParagraphFont"/>
    <w:link w:val="Heading4"/>
    <w:rPr>
      <w:rFonts w:eastAsia="Times New Roman" w:cs="Times New Roman"/>
      <w:color w:val="000000"/>
      <w:szCs w:val="28"/>
      <w:u w:color="000000"/>
    </w:rPr>
  </w:style>
  <w:style w:type="character" w:customStyle="1" w:styleId="Heading5Char">
    <w:name w:val="Heading 5 Char"/>
    <w:basedOn w:val="DefaultParagraphFont"/>
    <w:link w:val="Heading5"/>
    <w:rPr>
      <w:rFonts w:eastAsia="Times New Roman" w:cs="Times New Roman"/>
      <w:color w:val="000000"/>
      <w:szCs w:val="26"/>
      <w:u w:color="000000"/>
    </w:rPr>
  </w:style>
  <w:style w:type="character" w:customStyle="1" w:styleId="Heading6Char">
    <w:name w:val="Heading 6 Char"/>
    <w:basedOn w:val="DefaultParagraphFont"/>
    <w:link w:val="Heading6"/>
    <w:rPr>
      <w:rFonts w:eastAsia="Times New Roman" w:cs="Times New Roman"/>
      <w:color w:val="000000"/>
      <w:szCs w:val="22"/>
      <w:u w:color="000000"/>
    </w:rPr>
  </w:style>
  <w:style w:type="character" w:customStyle="1" w:styleId="Heading7Char">
    <w:name w:val="Heading 7 Char"/>
    <w:basedOn w:val="DefaultParagraphFont"/>
    <w:link w:val="Heading7"/>
    <w:rPr>
      <w:rFonts w:eastAsia="Times New Roman" w:cs="Times New Roman"/>
      <w:color w:val="000000"/>
      <w:u w:color="000000"/>
    </w:rPr>
  </w:style>
  <w:style w:type="character" w:customStyle="1" w:styleId="Heading8Char">
    <w:name w:val="Heading 8 Char"/>
    <w:basedOn w:val="DefaultParagraphFont"/>
    <w:link w:val="Heading8"/>
    <w:rPr>
      <w:rFonts w:eastAsia="Times New Roman" w:cs="Times New Roman"/>
      <w:color w:val="000000"/>
      <w:u w:color="000000"/>
    </w:rPr>
  </w:style>
  <w:style w:type="character" w:customStyle="1" w:styleId="Heading9Char">
    <w:name w:val="Heading 9 Char"/>
    <w:basedOn w:val="DefaultParagraphFont"/>
    <w:link w:val="Heading9"/>
    <w:rPr>
      <w:rFonts w:eastAsia="Times New Roman" w:cs="Times New Roman"/>
      <w:color w:val="000000"/>
      <w:szCs w:val="22"/>
      <w:u w:color="000000"/>
    </w:rPr>
  </w:style>
  <w:style w:type="paragraph" w:styleId="ListParagraph">
    <w:name w:val="List Paragraph"/>
    <w:basedOn w:val="Normal"/>
    <w:uiPriority w:val="34"/>
    <w:semiHidden/>
    <w:unhideWhenUsed/>
    <w:qFormat/>
    <w:pPr>
      <w:ind w:left="720"/>
      <w:contextualSpacing/>
    </w:pPr>
  </w:style>
  <w:style w:type="paragraph" w:styleId="Closing">
    <w:name w:val="Closing"/>
    <w:basedOn w:val="Normal"/>
    <w:link w:val="ClosingChar"/>
    <w:uiPriority w:val="99"/>
    <w:semiHidden/>
    <w:unhideWhenUsed/>
    <w:pPr>
      <w:keepNext/>
      <w:spacing w:after="720"/>
      <w:ind w:left="5040"/>
    </w:pPr>
  </w:style>
  <w:style w:type="paragraph" w:styleId="NormalWeb">
    <w:name w:val="Normal (Web)"/>
    <w:basedOn w:val="Normal"/>
    <w:uiPriority w:val="99"/>
    <w:semiHidden/>
    <w:unhideWhenUsed/>
  </w:style>
  <w:style w:type="character" w:customStyle="1" w:styleId="ClosingChar">
    <w:name w:val="Closing Char"/>
    <w:basedOn w:val="DefaultParagraphFont"/>
    <w:link w:val="Closing"/>
    <w:uiPriority w:val="99"/>
    <w:semiHidden/>
  </w:style>
  <w:style w:type="paragraph" w:styleId="Date">
    <w:name w:val="Date"/>
    <w:basedOn w:val="Normal"/>
    <w:next w:val="Normal"/>
    <w:link w:val="DateChar"/>
    <w:uiPriority w:val="99"/>
    <w:semiHidden/>
    <w:unhideWhenUsed/>
    <w:pPr>
      <w:spacing w:after="720"/>
      <w:jc w:val="center"/>
    </w:pPr>
  </w:style>
  <w:style w:type="character" w:customStyle="1" w:styleId="DateChar">
    <w:name w:val="Date Char"/>
    <w:basedOn w:val="DefaultParagraphFont"/>
    <w:link w:val="Date"/>
    <w:uiPriority w:val="99"/>
    <w:semiHidden/>
  </w:style>
  <w:style w:type="paragraph" w:styleId="Title">
    <w:name w:val="Title"/>
    <w:basedOn w:val="Normal"/>
    <w:link w:val="TitleChar"/>
    <w:qFormat/>
    <w:pPr>
      <w:keepNext/>
      <w:jc w:val="center"/>
    </w:pPr>
    <w:rPr>
      <w:rFonts w:ascii="Times New Roman Bold" w:hAnsi="Times New Roman Bold" w:cs="Arial"/>
      <w:b/>
      <w:bCs/>
      <w:kern w:val="28"/>
      <w:szCs w:val="32"/>
    </w:rPr>
  </w:style>
  <w:style w:type="character" w:customStyle="1" w:styleId="TitleChar">
    <w:name w:val="Title Char"/>
    <w:basedOn w:val="DefaultParagraphFont"/>
    <w:link w:val="Title"/>
    <w:rPr>
      <w:rFonts w:ascii="Times New Roman Bold" w:eastAsia="Times New Roman" w:hAnsi="Times New Roman Bold" w:cs="Arial"/>
      <w:b/>
      <w:bCs/>
      <w:kern w:val="28"/>
      <w:szCs w:val="32"/>
    </w:rPr>
  </w:style>
  <w:style w:type="paragraph" w:styleId="Subtitle">
    <w:name w:val="Subtitle"/>
    <w:basedOn w:val="Normal"/>
    <w:link w:val="SubtitleChar"/>
    <w:qFormat/>
    <w:pPr>
      <w:jc w:val="center"/>
      <w:outlineLvl w:val="1"/>
    </w:pPr>
    <w:rPr>
      <w:rFonts w:cs="Arial"/>
      <w:b/>
    </w:rPr>
  </w:style>
  <w:style w:type="character" w:customStyle="1" w:styleId="SubtitleChar">
    <w:name w:val="Subtitle Char"/>
    <w:basedOn w:val="DefaultParagraphFont"/>
    <w:link w:val="Subtitle"/>
    <w:rPr>
      <w:rFonts w:ascii="Times New Roman" w:eastAsia="Times New Roman" w:hAnsi="Times New Roman" w:cs="Arial"/>
      <w:b/>
    </w:rPr>
  </w:style>
  <w:style w:type="paragraph" w:styleId="TOC1">
    <w:name w:val="toc 1"/>
    <w:basedOn w:val="Normal"/>
    <w:next w:val="Normal"/>
    <w:autoRedefine/>
    <w:pPr>
      <w:tabs>
        <w:tab w:val="left" w:pos="720"/>
        <w:tab w:val="right" w:leader="dot" w:pos="9346"/>
      </w:tabs>
      <w:spacing w:before="240"/>
      <w:ind w:left="720" w:right="432" w:hanging="720"/>
    </w:pPr>
    <w:rPr>
      <w:noProof/>
    </w:rPr>
  </w:style>
  <w:style w:type="paragraph" w:styleId="TOC2">
    <w:name w:val="toc 2"/>
    <w:basedOn w:val="Normal"/>
    <w:next w:val="Normal"/>
    <w:autoRedefine/>
    <w:pPr>
      <w:tabs>
        <w:tab w:val="left" w:pos="1440"/>
        <w:tab w:val="right" w:leader="dot" w:pos="9346"/>
      </w:tabs>
      <w:spacing w:before="240"/>
      <w:ind w:left="1440" w:right="432" w:hanging="720"/>
    </w:pPr>
    <w:rPr>
      <w:noProof/>
    </w:rPr>
  </w:style>
  <w:style w:type="paragraph" w:styleId="TOC3">
    <w:name w:val="toc 3"/>
    <w:basedOn w:val="Normal"/>
    <w:next w:val="Normal"/>
    <w:autoRedefine/>
    <w:pPr>
      <w:tabs>
        <w:tab w:val="left" w:pos="2160"/>
        <w:tab w:val="right" w:leader="dot" w:pos="9346"/>
      </w:tabs>
      <w:spacing w:before="240"/>
      <w:ind w:left="2160" w:right="432" w:hanging="720"/>
    </w:pPr>
    <w:rPr>
      <w:noProof/>
    </w:rPr>
  </w:style>
  <w:style w:type="paragraph" w:styleId="TOC4">
    <w:name w:val="toc 4"/>
    <w:basedOn w:val="Normal"/>
    <w:next w:val="Normal"/>
    <w:autoRedefine/>
    <w:pPr>
      <w:tabs>
        <w:tab w:val="left" w:pos="2880"/>
        <w:tab w:val="right" w:leader="dot" w:pos="9346"/>
      </w:tabs>
      <w:ind w:left="2880" w:right="432" w:hanging="720"/>
    </w:pPr>
    <w:rPr>
      <w:noProof/>
    </w:rPr>
  </w:style>
  <w:style w:type="paragraph" w:styleId="TOC5">
    <w:name w:val="toc 5"/>
    <w:basedOn w:val="Normal"/>
    <w:next w:val="Normal"/>
    <w:autoRedefine/>
    <w:pPr>
      <w:tabs>
        <w:tab w:val="left" w:pos="3600"/>
        <w:tab w:val="right" w:leader="dot" w:pos="9346"/>
      </w:tabs>
      <w:ind w:left="3600" w:right="720" w:hanging="720"/>
    </w:pPr>
    <w:rPr>
      <w:noProof/>
    </w:rPr>
  </w:style>
  <w:style w:type="paragraph" w:styleId="TOC6">
    <w:name w:val="toc 6"/>
    <w:basedOn w:val="Normal"/>
    <w:next w:val="Normal"/>
    <w:autoRedefine/>
    <w:pPr>
      <w:tabs>
        <w:tab w:val="left" w:pos="4320"/>
        <w:tab w:val="right" w:leader="dot" w:pos="9346"/>
      </w:tabs>
      <w:ind w:left="4320" w:right="720" w:hanging="720"/>
    </w:pPr>
    <w:rPr>
      <w:noProof/>
    </w:rPr>
  </w:style>
  <w:style w:type="paragraph" w:styleId="TOC7">
    <w:name w:val="toc 7"/>
    <w:basedOn w:val="Normal"/>
    <w:next w:val="Normal"/>
    <w:autoRedefine/>
    <w:pPr>
      <w:tabs>
        <w:tab w:val="left" w:pos="5040"/>
        <w:tab w:val="right" w:leader="dot" w:pos="9346"/>
      </w:tabs>
      <w:ind w:left="5040" w:right="720" w:hanging="720"/>
    </w:pPr>
    <w:rPr>
      <w:noProof/>
    </w:rPr>
  </w:style>
  <w:style w:type="paragraph" w:styleId="TOC8">
    <w:name w:val="toc 8"/>
    <w:basedOn w:val="Normal"/>
    <w:next w:val="Normal"/>
    <w:autoRedefine/>
    <w:pPr>
      <w:tabs>
        <w:tab w:val="left" w:pos="5040"/>
        <w:tab w:val="right" w:leader="dot" w:pos="9346"/>
      </w:tabs>
      <w:ind w:left="5040" w:right="432" w:hanging="720"/>
    </w:pPr>
    <w:rPr>
      <w:noProof/>
    </w:rPr>
  </w:style>
  <w:style w:type="paragraph" w:styleId="TOC9">
    <w:name w:val="toc 9"/>
    <w:basedOn w:val="Normal"/>
    <w:next w:val="Normal"/>
    <w:autoRedefine/>
    <w:pPr>
      <w:tabs>
        <w:tab w:val="left" w:pos="5040"/>
        <w:tab w:val="right" w:leader="dot" w:pos="9346"/>
      </w:tabs>
      <w:ind w:left="5040" w:right="432" w:hanging="720"/>
    </w:pPr>
    <w:rPr>
      <w:noProof/>
    </w:rPr>
  </w:style>
  <w:style w:type="paragraph" w:styleId="BalloonText">
    <w:name w:val="Balloon Text"/>
    <w:basedOn w:val="Normal"/>
    <w:link w:val="BalloonTextChar"/>
    <w:uiPriority w:val="99"/>
    <w:semiHidden/>
    <w:unhideWhenUsed/>
    <w:rPr>
      <w:rFonts w:ascii="Tahoma" w:hAnsi="Tahoma" w:cs="Tahoma"/>
      <w:sz w:val="16"/>
      <w:szCs w:val="16"/>
    </w:rPr>
  </w:style>
  <w:style w:type="paragraph" w:styleId="EnvelopeAddress">
    <w:name w:val="envelope address"/>
    <w:basedOn w:val="Normal"/>
    <w:uiPriority w:val="99"/>
    <w:semiHidden/>
    <w:unhideWhenUsed/>
    <w:pPr>
      <w:framePr w:w="7920" w:h="1980" w:hRule="exact" w:hSpace="180" w:wrap="auto" w:hAnchor="page" w:xAlign="center" w:yAlign="bottom"/>
      <w:spacing w:after="0"/>
      <w:ind w:left="2880"/>
    </w:pPr>
  </w:style>
  <w:style w:type="paragraph" w:styleId="EnvelopeReturn">
    <w:name w:val="envelope return"/>
    <w:basedOn w:val="Normal"/>
    <w:uiPriority w:val="99"/>
    <w:semiHidden/>
    <w:unhideWhenUsed/>
    <w:pPr>
      <w:spacing w:after="0"/>
    </w:pPr>
    <w:rPr>
      <w:sz w:val="20"/>
      <w:szCs w:val="20"/>
    </w:rPr>
  </w:style>
  <w:style w:type="paragraph" w:styleId="Index1">
    <w:name w:val="index 1"/>
    <w:basedOn w:val="Normal"/>
    <w:next w:val="Normal"/>
    <w:autoRedefine/>
    <w:uiPriority w:val="99"/>
    <w:semiHidden/>
    <w:unhideWhenUsed/>
    <w:pPr>
      <w:ind w:left="240" w:hanging="240"/>
    </w:pPr>
  </w:style>
  <w:style w:type="paragraph" w:styleId="IndexHeading">
    <w:name w:val="index heading"/>
    <w:basedOn w:val="Normal"/>
    <w:next w:val="Index1"/>
    <w:uiPriority w:val="99"/>
    <w:semiHidden/>
    <w:unhideWhenUsed/>
    <w:rPr>
      <w:b/>
      <w:bCs/>
    </w:rPr>
  </w:style>
  <w:style w:type="table" w:customStyle="1" w:styleId="MediumGrid21">
    <w:name w:val="Medium Grid 21"/>
    <w:basedOn w:val="TableNormal"/>
    <w:uiPriority w:val="68"/>
    <w:rPr>
      <w:rFonts w:eastAsia="Times New Roman" w:cs="Times New Roman"/>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Pr>
      <w:rFonts w:eastAsia="Times New Roman" w:cs="Times New Roman"/>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Pr>
      <w:rFonts w:eastAsia="Times New Roman" w:cs="Times New Roman"/>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Pr>
      <w:rFonts w:eastAsia="Times New Roman" w:cs="Times New Roman"/>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Pr>
      <w:rFonts w:eastAsia="Times New Roman" w:cs="Times New Roman"/>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Pr>
      <w:rFonts w:eastAsia="Times New Roman" w:cs="Times New Roman"/>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Pr>
      <w:rFonts w:eastAsia="Times New Roman" w:cs="Times New Roman"/>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customStyle="1" w:styleId="MediumList21">
    <w:name w:val="Medium List 21"/>
    <w:basedOn w:val="TableNormal"/>
    <w:uiPriority w:val="66"/>
    <w:rPr>
      <w:rFonts w:eastAsia="Times New Roman" w:cs="Times New Roman"/>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Pr>
      <w:rFonts w:eastAsia="Times New Roman" w:cs="Times New Roman"/>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Pr>
      <w:rFonts w:eastAsia="Times New Roman" w:cs="Times New Roman"/>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Pr>
      <w:rFonts w:eastAsia="Times New Roman" w:cs="Times New Roman"/>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Pr>
      <w:rFonts w:eastAsia="Times New Roman" w:cs="Times New Roman"/>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Pr>
      <w:rFonts w:eastAsia="Times New Roman" w:cs="Times New Roman"/>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Pr>
      <w:rFonts w:eastAsia="Times New Roman" w:cs="Times New Roman"/>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paragraph" w:styleId="MessageHeader">
    <w:name w:val="Message Header"/>
    <w:basedOn w:val="Normal"/>
    <w:link w:val="MessageHeaderChar"/>
    <w:uiPriority w:val="99"/>
    <w:semiHidden/>
    <w:unhideWhenUsed/>
    <w:pPr>
      <w:pBdr>
        <w:top w:val="single" w:sz="6" w:space="1" w:color="auto"/>
        <w:left w:val="single" w:sz="6" w:space="1" w:color="auto"/>
        <w:bottom w:val="single" w:sz="6" w:space="1" w:color="auto"/>
        <w:right w:val="single" w:sz="6" w:space="1" w:color="auto"/>
      </w:pBdr>
      <w:shd w:val="pct20" w:color="auto" w:fill="auto"/>
      <w:ind w:left="1080" w:hanging="1080"/>
    </w:pPr>
  </w:style>
  <w:style w:type="character" w:customStyle="1" w:styleId="MessageHeaderChar">
    <w:name w:val="Message Header Char"/>
    <w:basedOn w:val="DefaultParagraphFont"/>
    <w:link w:val="MessageHeader"/>
    <w:uiPriority w:val="99"/>
    <w:semiHidden/>
    <w:rPr>
      <w:rFonts w:eastAsia="Times New Roman" w:cs="Times New Roman"/>
      <w:shd w:val="pct20" w:color="auto" w:fill="auto"/>
    </w:rPr>
  </w:style>
  <w:style w:type="paragraph" w:styleId="TOAHeading">
    <w:name w:val="toa heading"/>
    <w:basedOn w:val="Normal"/>
    <w:next w:val="Normal"/>
    <w:uiPriority w:val="99"/>
    <w:semiHidden/>
    <w:unhideWhenUsed/>
    <w:pPr>
      <w:spacing w:before="120"/>
    </w:pPr>
    <w:rPr>
      <w:b/>
      <w:bCs/>
    </w:rPr>
  </w:style>
  <w:style w:type="paragraph" w:styleId="TOCHeading">
    <w:name w:val="TOC Heading"/>
    <w:basedOn w:val="Normal"/>
    <w:next w:val="Normal"/>
    <w:uiPriority w:val="39"/>
    <w:semiHidden/>
    <w:unhideWhenUsed/>
    <w:qFormat/>
    <w:pPr>
      <w:jc w:val="center"/>
    </w:pPr>
    <w:rPr>
      <w:b/>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customStyle="1" w:styleId="TitleTOC">
    <w:name w:val="Title (TOC)"/>
    <w:basedOn w:val="Normal"/>
    <w:pPr>
      <w:keepNext/>
      <w:ind w:left="648" w:hanging="648"/>
      <w:jc w:val="center"/>
      <w:outlineLvl w:val="0"/>
    </w:pPr>
    <w:rPr>
      <w:b/>
    </w:rPr>
  </w:style>
  <w:style w:type="paragraph" w:customStyle="1" w:styleId="TitleL">
    <w:name w:val="Title L"/>
    <w:basedOn w:val="EndNote"/>
    <w:link w:val="TitleLChar"/>
    <w:pPr>
      <w:keepNext/>
      <w:ind w:left="0" w:firstLine="0"/>
    </w:pPr>
    <w:rPr>
      <w:b/>
    </w:rPr>
  </w:style>
  <w:style w:type="character" w:customStyle="1" w:styleId="TitleLChar">
    <w:name w:val="Title L Char"/>
    <w:basedOn w:val="DefaultParagraphFont"/>
    <w:link w:val="TitleL"/>
    <w:rPr>
      <w:rFonts w:eastAsia="Times New Roman" w:cs="Times New Roman"/>
      <w:b/>
    </w:rPr>
  </w:style>
  <w:style w:type="paragraph" w:customStyle="1" w:styleId="EndNote">
    <w:name w:val="End Note"/>
    <w:basedOn w:val="Normal"/>
    <w:pPr>
      <w:ind w:left="720" w:hanging="720"/>
    </w:pPr>
  </w:style>
  <w:style w:type="character" w:styleId="EndnoteReference">
    <w:name w:val="endnote reference"/>
    <w:semiHidden/>
    <w:rPr>
      <w:vertAlign w:val="superscript"/>
    </w:rPr>
  </w:style>
  <w:style w:type="character" w:styleId="FootnoteReference">
    <w:name w:val="footnote reference"/>
    <w:semiHidden/>
    <w:rPr>
      <w:vertAlign w:val="superscript"/>
    </w:rPr>
  </w:style>
  <w:style w:type="paragraph" w:styleId="ListBullet">
    <w:name w:val="List Bullet"/>
    <w:basedOn w:val="Normal"/>
    <w:pPr>
      <w:numPr>
        <w:numId w:val="18"/>
      </w:numPr>
    </w:pPr>
  </w:style>
  <w:style w:type="character" w:styleId="PageNumber">
    <w:name w:val="page number"/>
    <w:basedOn w:val="DefaultParagraphFont"/>
  </w:style>
  <w:style w:type="paragraph" w:customStyle="1" w:styleId="1st05Dbl">
    <w:name w:val="1st0.5Dbl"/>
    <w:qFormat/>
    <w:pPr>
      <w:spacing w:line="480" w:lineRule="auto"/>
      <w:ind w:firstLine="720"/>
    </w:pPr>
    <w:rPr>
      <w:rFonts w:eastAsia="Calibri" w:cs="Times New Roman"/>
      <w:szCs w:val="22"/>
    </w:rPr>
  </w:style>
  <w:style w:type="paragraph" w:customStyle="1" w:styleId="1st05Sgl">
    <w:name w:val="1st0.5Sgl"/>
    <w:qFormat/>
    <w:pPr>
      <w:spacing w:after="240"/>
      <w:ind w:firstLine="720"/>
    </w:pPr>
    <w:rPr>
      <w:rFonts w:eastAsia="Calibri" w:cs="Times New Roman"/>
      <w:szCs w:val="22"/>
    </w:rPr>
  </w:style>
  <w:style w:type="paragraph" w:customStyle="1" w:styleId="1st10Dbl">
    <w:name w:val="1st1.0Dbl"/>
    <w:qFormat/>
    <w:pPr>
      <w:spacing w:line="480" w:lineRule="auto"/>
      <w:ind w:firstLine="1440"/>
    </w:pPr>
    <w:rPr>
      <w:rFonts w:eastAsia="Calibri" w:cs="Times New Roman"/>
      <w:szCs w:val="22"/>
    </w:rPr>
  </w:style>
  <w:style w:type="paragraph" w:customStyle="1" w:styleId="1st10Sgl">
    <w:name w:val="1st1.0Sgl"/>
    <w:qFormat/>
    <w:pPr>
      <w:spacing w:after="240"/>
      <w:ind w:firstLine="1440"/>
    </w:pPr>
    <w:rPr>
      <w:rFonts w:eastAsia="Calibri" w:cs="Times New Roman"/>
      <w:szCs w:val="22"/>
    </w:rPr>
  </w:style>
  <w:style w:type="paragraph" w:customStyle="1" w:styleId="AddressBlock">
    <w:name w:val="Address Block"/>
    <w:rPr>
      <w:rFonts w:eastAsia="Calibri" w:cs="Times New Roman"/>
      <w:szCs w:val="22"/>
    </w:rPr>
  </w:style>
  <w:style w:type="paragraph" w:customStyle="1" w:styleId="SigLn">
    <w:name w:val="SigLn"/>
    <w:next w:val="Normal"/>
    <w:qFormat/>
    <w:pPr>
      <w:tabs>
        <w:tab w:val="left" w:leader="underscore" w:pos="8640"/>
      </w:tabs>
      <w:ind w:left="4320"/>
    </w:pPr>
    <w:rPr>
      <w:rFonts w:eastAsia="Times New Roman" w:cs="Times New Roman"/>
      <w:bCs/>
      <w:kern w:val="32"/>
      <w:szCs w:val="32"/>
    </w:rPr>
  </w:style>
  <w:style w:type="paragraph" w:customStyle="1" w:styleId="SigNoLn">
    <w:name w:val="SigNoLn"/>
    <w:qFormat/>
    <w:pPr>
      <w:ind w:left="4320"/>
    </w:pPr>
    <w:rPr>
      <w:rFonts w:eastAsia="Times New Roman" w:cs="Times New Roman"/>
      <w:bCs/>
      <w:kern w:val="32"/>
      <w:szCs w:val="32"/>
    </w:rPr>
  </w:style>
  <w:style w:type="paragraph" w:customStyle="1" w:styleId="WITNESSETH">
    <w:name w:val="WITNESSETH"/>
    <w:qFormat/>
    <w:pPr>
      <w:keepNext/>
      <w:keepLines/>
      <w:spacing w:after="240"/>
      <w:jc w:val="center"/>
    </w:pPr>
    <w:rPr>
      <w:rFonts w:eastAsia="Times New Roman" w:cs="Times New Roman"/>
      <w:b/>
      <w:bCs/>
      <w:caps/>
      <w:kern w:val="32"/>
      <w:szCs w:val="32"/>
      <w:u w:val="words"/>
    </w:rPr>
  </w:style>
  <w:style w:type="paragraph" w:customStyle="1" w:styleId="NormalNoSpace">
    <w:name w:val="NormalNoSpace"/>
    <w:basedOn w:val="Normal"/>
    <w:qFormat/>
    <w:pPr>
      <w:spacing w:after="0"/>
    </w:pPr>
  </w:style>
  <w:style w:type="paragraph" w:styleId="Quote">
    <w:name w:val="Quote"/>
    <w:basedOn w:val="Normal"/>
    <w:next w:val="Normal"/>
    <w:link w:val="QuoteChar"/>
    <w:qFormat/>
    <w:pPr>
      <w:ind w:left="1440" w:right="1440"/>
    </w:pPr>
    <w:rPr>
      <w:iCs/>
    </w:rPr>
  </w:style>
  <w:style w:type="character" w:customStyle="1" w:styleId="QuoteChar">
    <w:name w:val="Quote Char"/>
    <w:basedOn w:val="DefaultParagraphFont"/>
    <w:link w:val="Quote"/>
    <w:rPr>
      <w:rFonts w:eastAsia="Times New Roman" w:cs="Times New Roman"/>
      <w:iCs/>
    </w:rPr>
  </w:style>
  <w:style w:type="paragraph" w:styleId="Bibliography">
    <w:name w:val="Bibliography"/>
    <w:basedOn w:val="Normal"/>
    <w:next w:val="Normal"/>
    <w:uiPriority w:val="37"/>
    <w:semiHidden/>
    <w:unhideWhenUsed/>
  </w:style>
  <w:style w:type="paragraph" w:styleId="BlockText">
    <w:name w:val="Block Text"/>
    <w:basedOn w:val="Normal"/>
    <w:semiHidden/>
    <w:unhideWhenUsed/>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i/>
      <w:iCs/>
      <w:color w:val="4F81BD" w:themeColor="accent1"/>
    </w:rPr>
  </w:style>
  <w:style w:type="paragraph" w:styleId="BodyText">
    <w:name w:val="Body Text"/>
    <w:basedOn w:val="Normal"/>
    <w:link w:val="BodyTextChar"/>
    <w:semiHidden/>
    <w:unhideWhenUsed/>
    <w:pPr>
      <w:spacing w:after="120"/>
    </w:pPr>
  </w:style>
  <w:style w:type="character" w:customStyle="1" w:styleId="BodyTextChar">
    <w:name w:val="Body Text Char"/>
    <w:basedOn w:val="DefaultParagraphFont"/>
    <w:link w:val="BodyText"/>
    <w:semiHidden/>
    <w:rPr>
      <w:rFonts w:ascii="Times New Roman" w:eastAsia="Times New Roman" w:hAnsi="Times New Roman" w:cs="Times New Roman"/>
    </w:rPr>
  </w:style>
  <w:style w:type="paragraph" w:styleId="BodyText2">
    <w:name w:val="Body Text 2"/>
    <w:basedOn w:val="Normal"/>
    <w:link w:val="BodyText2Char"/>
    <w:semiHidden/>
    <w:unhideWhenUsed/>
    <w:pPr>
      <w:spacing w:after="120" w:line="480" w:lineRule="auto"/>
    </w:pPr>
  </w:style>
  <w:style w:type="character" w:customStyle="1" w:styleId="BodyText2Char">
    <w:name w:val="Body Text 2 Char"/>
    <w:basedOn w:val="DefaultParagraphFont"/>
    <w:link w:val="BodyText2"/>
    <w:semiHidden/>
    <w:rPr>
      <w:rFonts w:ascii="Times New Roman" w:eastAsia="Times New Roman" w:hAnsi="Times New Roman" w:cs="Times New Roman"/>
    </w:rPr>
  </w:style>
  <w:style w:type="paragraph" w:styleId="BodyText3">
    <w:name w:val="Body Text 3"/>
    <w:basedOn w:val="Normal"/>
    <w:link w:val="BodyText3Char"/>
    <w:uiPriority w:val="99"/>
    <w:semiHidden/>
    <w:unhideWhenUsed/>
    <w:pPr>
      <w:spacing w:after="120"/>
    </w:pPr>
    <w:rPr>
      <w:sz w:val="16"/>
      <w:szCs w:val="16"/>
    </w:rPr>
  </w:style>
  <w:style w:type="character" w:customStyle="1" w:styleId="BodyText3Char">
    <w:name w:val="Body Text 3 Char"/>
    <w:basedOn w:val="DefaultParagraphFont"/>
    <w:link w:val="BodyText3"/>
    <w:uiPriority w:val="99"/>
    <w:semiHidden/>
    <w:rPr>
      <w:rFonts w:ascii="Times New Roman" w:eastAsia="Times New Roman" w:hAnsi="Times New Roman" w:cs="Times New Roman"/>
      <w:sz w:val="16"/>
      <w:szCs w:val="16"/>
    </w:rPr>
  </w:style>
  <w:style w:type="paragraph" w:styleId="BodyTextFirstIndent">
    <w:name w:val="Body Text First Indent"/>
    <w:basedOn w:val="BodyText"/>
    <w:link w:val="BodyTextFirstIndentChar"/>
    <w:uiPriority w:val="99"/>
    <w:semiHidden/>
    <w:unhideWhenUsed/>
    <w:pPr>
      <w:spacing w:after="240"/>
      <w:ind w:firstLine="360"/>
    </w:pPr>
  </w:style>
  <w:style w:type="character" w:customStyle="1" w:styleId="BodyTextFirstIndentChar">
    <w:name w:val="Body Text First Indent Char"/>
    <w:basedOn w:val="BodyTextChar"/>
    <w:link w:val="BodyTextFirstIndent"/>
    <w:uiPriority w:val="99"/>
    <w:semiHidden/>
    <w:rPr>
      <w:rFonts w:ascii="Times New Roman" w:eastAsia="Times New Roman" w:hAnsi="Times New Roman" w:cs="Times New Roman"/>
    </w:rPr>
  </w:style>
  <w:style w:type="paragraph" w:styleId="BodyTextIndent">
    <w:name w:val="Body Text Indent"/>
    <w:basedOn w:val="Normal"/>
    <w:link w:val="BodyTextIndentChar"/>
    <w:uiPriority w:val="99"/>
    <w:semiHidden/>
    <w:unhideWhenUsed/>
    <w:pPr>
      <w:spacing w:after="120"/>
      <w:ind w:left="360"/>
    </w:pPr>
  </w:style>
  <w:style w:type="character" w:customStyle="1" w:styleId="BodyTextIndentChar">
    <w:name w:val="Body Text Indent Char"/>
    <w:basedOn w:val="DefaultParagraphFont"/>
    <w:link w:val="BodyTextIndent"/>
    <w:uiPriority w:val="99"/>
    <w:semiHidden/>
    <w:rPr>
      <w:rFonts w:ascii="Times New Roman" w:eastAsia="Times New Roman" w:hAnsi="Times New Roman" w:cs="Times New Roman"/>
    </w:rPr>
  </w:style>
  <w:style w:type="paragraph" w:styleId="BodyTextFirstIndent2">
    <w:name w:val="Body Text First Indent 2"/>
    <w:basedOn w:val="BodyTextIndent"/>
    <w:link w:val="BodyTextFirstIndent2Char"/>
    <w:uiPriority w:val="99"/>
    <w:semiHidden/>
    <w:unhideWhenUsed/>
    <w:pPr>
      <w:spacing w:after="240"/>
      <w:ind w:firstLine="360"/>
    </w:pPr>
  </w:style>
  <w:style w:type="character" w:customStyle="1" w:styleId="BodyTextFirstIndent2Char">
    <w:name w:val="Body Text First Indent 2 Char"/>
    <w:basedOn w:val="BodyTextIndentChar"/>
    <w:link w:val="BodyTextFirstIndent2"/>
    <w:uiPriority w:val="99"/>
    <w:semiHidden/>
    <w:rPr>
      <w:rFonts w:ascii="Times New Roman" w:eastAsia="Times New Roman" w:hAnsi="Times New Roman" w:cs="Times New Roman"/>
    </w:rPr>
  </w:style>
  <w:style w:type="paragraph" w:styleId="BodyTextIndent2">
    <w:name w:val="Body Text Indent 2"/>
    <w:basedOn w:val="Normal"/>
    <w:link w:val="BodyTextIndent2Char"/>
    <w:uiPriority w:val="99"/>
    <w:semiHidden/>
    <w:unhideWhenUsed/>
    <w:pPr>
      <w:spacing w:after="120" w:line="480" w:lineRule="auto"/>
      <w:ind w:left="360"/>
    </w:pPr>
  </w:style>
  <w:style w:type="character" w:customStyle="1" w:styleId="BodyTextIndent2Char">
    <w:name w:val="Body Text Indent 2 Char"/>
    <w:basedOn w:val="DefaultParagraphFont"/>
    <w:link w:val="BodyTextIndent2"/>
    <w:uiPriority w:val="99"/>
    <w:semiHidden/>
    <w:rPr>
      <w:rFonts w:ascii="Times New Roman" w:eastAsia="Times New Roman" w:hAnsi="Times New Roman" w:cs="Times New Roman"/>
    </w:rPr>
  </w:style>
  <w:style w:type="paragraph" w:styleId="BodyTextIndent3">
    <w:name w:val="Body Text Indent 3"/>
    <w:basedOn w:val="Normal"/>
    <w:link w:val="BodyTextIndent3Char"/>
    <w:uiPriority w:val="99"/>
    <w:semiHidden/>
    <w:unhideWhenUsed/>
    <w:pPr>
      <w:spacing w:after="120"/>
      <w:ind w:left="360"/>
    </w:pPr>
    <w:rPr>
      <w:sz w:val="16"/>
      <w:szCs w:val="16"/>
    </w:rPr>
  </w:style>
  <w:style w:type="character" w:customStyle="1" w:styleId="BodyTextIndent3Char">
    <w:name w:val="Body Text Indent 3 Char"/>
    <w:basedOn w:val="DefaultParagraphFont"/>
    <w:link w:val="BodyTextIndent3"/>
    <w:uiPriority w:val="99"/>
    <w:semiHidden/>
    <w:rPr>
      <w:rFonts w:ascii="Times New Roman" w:eastAsia="Times New Roman" w:hAnsi="Times New Roman" w:cs="Times New Roman"/>
      <w:sz w:val="16"/>
      <w:szCs w:val="16"/>
    </w:rPr>
  </w:style>
  <w:style w:type="paragraph" w:styleId="Caption">
    <w:name w:val="caption"/>
    <w:basedOn w:val="Normal"/>
    <w:next w:val="Normal"/>
    <w:uiPriority w:val="35"/>
    <w:semiHidden/>
    <w:unhideWhenUsed/>
    <w:qFormat/>
    <w:pPr>
      <w:spacing w:after="200"/>
    </w:pPr>
    <w:rPr>
      <w:b/>
      <w:bCs/>
      <w:color w:val="4F81BD" w:themeColor="accent1"/>
      <w:sz w:val="18"/>
      <w:szCs w:val="18"/>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eastAsia="Times New Roman" w:hAnsi="Times New Roman" w:cs="Times New Roman"/>
      <w:b/>
      <w:bCs/>
      <w:sz w:val="20"/>
      <w:szCs w:val="20"/>
    </w:rPr>
  </w:style>
  <w:style w:type="paragraph" w:styleId="DocumentMap">
    <w:name w:val="Document Map"/>
    <w:basedOn w:val="Normal"/>
    <w:link w:val="DocumentMapChar"/>
    <w:uiPriority w:val="99"/>
    <w:semiHidden/>
    <w:unhideWhenUsed/>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Pr>
      <w:rFonts w:ascii="Tahoma" w:eastAsia="Times New Roman" w:hAnsi="Tahoma" w:cs="Tahoma"/>
      <w:sz w:val="16"/>
      <w:szCs w:val="16"/>
    </w:rPr>
  </w:style>
  <w:style w:type="paragraph" w:styleId="E-mailSignature">
    <w:name w:val="E-mail Signature"/>
    <w:basedOn w:val="Normal"/>
    <w:link w:val="E-mailSignatureChar"/>
    <w:uiPriority w:val="99"/>
    <w:semiHidden/>
    <w:unhideWhenUsed/>
    <w:pPr>
      <w:spacing w:after="0"/>
    </w:pPr>
  </w:style>
  <w:style w:type="character" w:customStyle="1" w:styleId="E-mailSignatureChar">
    <w:name w:val="E-mail Signature Char"/>
    <w:basedOn w:val="DefaultParagraphFont"/>
    <w:link w:val="E-mailSignature"/>
    <w:uiPriority w:val="99"/>
    <w:semiHidden/>
    <w:rPr>
      <w:rFonts w:ascii="Times New Roman" w:eastAsia="Times New Roman" w:hAnsi="Times New Roman" w:cs="Times New Roman"/>
    </w:rPr>
  </w:style>
  <w:style w:type="paragraph" w:styleId="HTMLAddress">
    <w:name w:val="HTML Address"/>
    <w:basedOn w:val="Normal"/>
    <w:link w:val="HTMLAddressChar"/>
    <w:uiPriority w:val="99"/>
    <w:semiHidden/>
    <w:unhideWhenUsed/>
    <w:pPr>
      <w:spacing w:after="0"/>
    </w:pPr>
    <w:rPr>
      <w:i/>
      <w:iCs/>
    </w:rPr>
  </w:style>
  <w:style w:type="character" w:customStyle="1" w:styleId="HTMLAddressChar">
    <w:name w:val="HTML Address Char"/>
    <w:basedOn w:val="DefaultParagraphFont"/>
    <w:link w:val="HTMLAddress"/>
    <w:uiPriority w:val="99"/>
    <w:semiHidden/>
    <w:rPr>
      <w:rFonts w:ascii="Times New Roman" w:eastAsia="Times New Roman" w:hAnsi="Times New Roman" w:cs="Times New Roman"/>
      <w:i/>
      <w:iCs/>
    </w:rPr>
  </w:style>
  <w:style w:type="paragraph" w:styleId="HTMLPreformatted">
    <w:name w:val="HTML Preformatted"/>
    <w:basedOn w:val="Normal"/>
    <w:link w:val="HTMLPreformattedChar"/>
    <w:uiPriority w:val="99"/>
    <w:semiHidden/>
    <w:unhideWhenUsed/>
    <w:pPr>
      <w:spacing w:after="0"/>
    </w:pPr>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Pr>
      <w:rFonts w:ascii="Consolas" w:eastAsia="Times New Roman" w:hAnsi="Consolas" w:cs="Consolas"/>
      <w:sz w:val="20"/>
      <w:szCs w:val="20"/>
    </w:rPr>
  </w:style>
  <w:style w:type="paragraph" w:styleId="Index2">
    <w:name w:val="index 2"/>
    <w:basedOn w:val="Normal"/>
    <w:next w:val="Normal"/>
    <w:autoRedefine/>
    <w:uiPriority w:val="99"/>
    <w:semiHidden/>
    <w:unhideWhenUsed/>
    <w:pPr>
      <w:spacing w:after="0"/>
      <w:ind w:left="480" w:hanging="240"/>
    </w:pPr>
  </w:style>
  <w:style w:type="paragraph" w:styleId="Index3">
    <w:name w:val="index 3"/>
    <w:basedOn w:val="Normal"/>
    <w:next w:val="Normal"/>
    <w:autoRedefine/>
    <w:uiPriority w:val="99"/>
    <w:semiHidden/>
    <w:unhideWhenUsed/>
    <w:pPr>
      <w:spacing w:after="0"/>
      <w:ind w:left="720" w:hanging="240"/>
    </w:pPr>
  </w:style>
  <w:style w:type="paragraph" w:styleId="Index4">
    <w:name w:val="index 4"/>
    <w:basedOn w:val="Normal"/>
    <w:next w:val="Normal"/>
    <w:autoRedefine/>
    <w:uiPriority w:val="99"/>
    <w:semiHidden/>
    <w:unhideWhenUsed/>
    <w:pPr>
      <w:spacing w:after="0"/>
      <w:ind w:left="960" w:hanging="240"/>
    </w:pPr>
  </w:style>
  <w:style w:type="paragraph" w:styleId="Index5">
    <w:name w:val="index 5"/>
    <w:basedOn w:val="Normal"/>
    <w:next w:val="Normal"/>
    <w:autoRedefine/>
    <w:uiPriority w:val="99"/>
    <w:semiHidden/>
    <w:unhideWhenUsed/>
    <w:pPr>
      <w:spacing w:after="0"/>
      <w:ind w:left="1200" w:hanging="240"/>
    </w:pPr>
  </w:style>
  <w:style w:type="paragraph" w:styleId="Index6">
    <w:name w:val="index 6"/>
    <w:basedOn w:val="Normal"/>
    <w:next w:val="Normal"/>
    <w:autoRedefine/>
    <w:uiPriority w:val="99"/>
    <w:semiHidden/>
    <w:unhideWhenUsed/>
    <w:pPr>
      <w:spacing w:after="0"/>
      <w:ind w:left="1440" w:hanging="240"/>
    </w:pPr>
  </w:style>
  <w:style w:type="paragraph" w:styleId="Index7">
    <w:name w:val="index 7"/>
    <w:basedOn w:val="Normal"/>
    <w:next w:val="Normal"/>
    <w:autoRedefine/>
    <w:uiPriority w:val="99"/>
    <w:semiHidden/>
    <w:unhideWhenUsed/>
    <w:pPr>
      <w:spacing w:after="0"/>
      <w:ind w:left="1680" w:hanging="240"/>
    </w:pPr>
  </w:style>
  <w:style w:type="paragraph" w:styleId="Index8">
    <w:name w:val="index 8"/>
    <w:basedOn w:val="Normal"/>
    <w:next w:val="Normal"/>
    <w:autoRedefine/>
    <w:uiPriority w:val="99"/>
    <w:semiHidden/>
    <w:unhideWhenUsed/>
    <w:pPr>
      <w:spacing w:after="0"/>
      <w:ind w:left="1920" w:hanging="240"/>
    </w:pPr>
  </w:style>
  <w:style w:type="paragraph" w:styleId="Index9">
    <w:name w:val="index 9"/>
    <w:basedOn w:val="Normal"/>
    <w:next w:val="Normal"/>
    <w:autoRedefine/>
    <w:uiPriority w:val="99"/>
    <w:semiHidden/>
    <w:unhideWhenUsed/>
    <w:pPr>
      <w:spacing w:after="0"/>
      <w:ind w:left="2160" w:hanging="240"/>
    </w:pPr>
  </w:style>
  <w:style w:type="paragraph" w:styleId="IntenseQuote">
    <w:name w:val="Intense Quote"/>
    <w:basedOn w:val="Normal"/>
    <w:next w:val="Normal"/>
    <w:link w:val="IntenseQuoteChar"/>
    <w:uiPriority w:val="99"/>
    <w:semiHidden/>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Pr>
      <w:rFonts w:eastAsia="Times New Roman" w:cs="Times New Roman"/>
      <w:b/>
      <w:bCs/>
      <w:i/>
      <w:iCs/>
      <w:color w:val="4F81BD" w:themeColor="accent1"/>
    </w:rPr>
  </w:style>
  <w:style w:type="paragraph" w:styleId="List">
    <w:name w:val="List"/>
    <w:basedOn w:val="Normal"/>
    <w:uiPriority w:val="99"/>
    <w:semiHidden/>
    <w:unhideWhenUsed/>
    <w:pPr>
      <w:ind w:left="360" w:hanging="360"/>
      <w:contextualSpacing/>
    </w:pPr>
  </w:style>
  <w:style w:type="paragraph" w:styleId="List2">
    <w:name w:val="List 2"/>
    <w:basedOn w:val="Normal"/>
    <w:uiPriority w:val="99"/>
    <w:semiHidden/>
    <w:unhideWhenUsed/>
    <w:pPr>
      <w:ind w:left="720" w:hanging="360"/>
      <w:contextualSpacing/>
    </w:pPr>
  </w:style>
  <w:style w:type="paragraph" w:styleId="List3">
    <w:name w:val="List 3"/>
    <w:basedOn w:val="Normal"/>
    <w:uiPriority w:val="99"/>
    <w:semiHidden/>
    <w:unhideWhenUsed/>
    <w:pPr>
      <w:ind w:left="1080" w:hanging="360"/>
      <w:contextualSpacing/>
    </w:pPr>
  </w:style>
  <w:style w:type="paragraph" w:styleId="List4">
    <w:name w:val="List 4"/>
    <w:basedOn w:val="Normal"/>
    <w:uiPriority w:val="99"/>
    <w:semiHidden/>
    <w:unhideWhenUsed/>
    <w:pPr>
      <w:ind w:left="1440" w:hanging="360"/>
      <w:contextualSpacing/>
    </w:pPr>
  </w:style>
  <w:style w:type="paragraph" w:styleId="List5">
    <w:name w:val="List 5"/>
    <w:basedOn w:val="Normal"/>
    <w:uiPriority w:val="99"/>
    <w:semiHidden/>
    <w:unhideWhenUsed/>
    <w:pPr>
      <w:ind w:left="1800" w:hanging="360"/>
      <w:contextualSpacing/>
    </w:pPr>
  </w:style>
  <w:style w:type="paragraph" w:styleId="ListBullet2">
    <w:name w:val="List Bullet 2"/>
    <w:basedOn w:val="Normal"/>
    <w:uiPriority w:val="99"/>
    <w:semiHidden/>
    <w:unhideWhenUsed/>
    <w:pPr>
      <w:numPr>
        <w:numId w:val="5"/>
      </w:numPr>
      <w:contextualSpacing/>
    </w:pPr>
  </w:style>
  <w:style w:type="paragraph" w:styleId="ListBullet3">
    <w:name w:val="List Bullet 3"/>
    <w:basedOn w:val="Normal"/>
    <w:uiPriority w:val="99"/>
    <w:semiHidden/>
    <w:unhideWhenUsed/>
    <w:pPr>
      <w:numPr>
        <w:numId w:val="6"/>
      </w:numPr>
      <w:contextualSpacing/>
    </w:pPr>
  </w:style>
  <w:style w:type="paragraph" w:styleId="ListBullet4">
    <w:name w:val="List Bullet 4"/>
    <w:basedOn w:val="Normal"/>
    <w:uiPriority w:val="99"/>
    <w:semiHidden/>
    <w:unhideWhenUsed/>
    <w:pPr>
      <w:numPr>
        <w:numId w:val="7"/>
      </w:numPr>
      <w:contextualSpacing/>
    </w:pPr>
  </w:style>
  <w:style w:type="paragraph" w:styleId="ListBullet5">
    <w:name w:val="List Bullet 5"/>
    <w:basedOn w:val="Normal"/>
    <w:uiPriority w:val="99"/>
    <w:semiHidden/>
    <w:unhideWhenUsed/>
    <w:pPr>
      <w:numPr>
        <w:numId w:val="8"/>
      </w:numPr>
      <w:contextualSpacing/>
    </w:pPr>
  </w:style>
  <w:style w:type="paragraph" w:styleId="ListContinue">
    <w:name w:val="List Continue"/>
    <w:basedOn w:val="Normal"/>
    <w:uiPriority w:val="99"/>
    <w:semiHidden/>
    <w:unhideWhenUsed/>
    <w:pPr>
      <w:spacing w:after="120"/>
      <w:ind w:left="360"/>
      <w:contextualSpacing/>
    </w:pPr>
  </w:style>
  <w:style w:type="paragraph" w:styleId="ListContinue2">
    <w:name w:val="List Continue 2"/>
    <w:basedOn w:val="Normal"/>
    <w:uiPriority w:val="99"/>
    <w:semiHidden/>
    <w:unhideWhenUsed/>
    <w:pPr>
      <w:spacing w:after="120"/>
      <w:ind w:left="720"/>
      <w:contextualSpacing/>
    </w:pPr>
  </w:style>
  <w:style w:type="paragraph" w:styleId="ListContinue3">
    <w:name w:val="List Continue 3"/>
    <w:basedOn w:val="Normal"/>
    <w:uiPriority w:val="99"/>
    <w:semiHidden/>
    <w:unhideWhenUsed/>
    <w:pPr>
      <w:spacing w:after="120"/>
      <w:ind w:left="1080"/>
      <w:contextualSpacing/>
    </w:pPr>
  </w:style>
  <w:style w:type="paragraph" w:styleId="ListContinue4">
    <w:name w:val="List Continue 4"/>
    <w:basedOn w:val="Normal"/>
    <w:uiPriority w:val="99"/>
    <w:semiHidden/>
    <w:unhideWhenUsed/>
    <w:pPr>
      <w:spacing w:after="120"/>
      <w:ind w:left="1440"/>
      <w:contextualSpacing/>
    </w:pPr>
  </w:style>
  <w:style w:type="paragraph" w:styleId="ListContinue5">
    <w:name w:val="List Continue 5"/>
    <w:basedOn w:val="Normal"/>
    <w:uiPriority w:val="99"/>
    <w:semiHidden/>
    <w:unhideWhenUsed/>
    <w:pPr>
      <w:spacing w:after="120"/>
      <w:ind w:left="1800"/>
      <w:contextualSpacing/>
    </w:pPr>
  </w:style>
  <w:style w:type="paragraph" w:styleId="ListNumber">
    <w:name w:val="List Number"/>
    <w:basedOn w:val="Normal"/>
    <w:uiPriority w:val="99"/>
    <w:semiHidden/>
    <w:unhideWhenUsed/>
    <w:pPr>
      <w:numPr>
        <w:numId w:val="9"/>
      </w:numPr>
      <w:contextualSpacing/>
    </w:pPr>
  </w:style>
  <w:style w:type="paragraph" w:styleId="ListNumber2">
    <w:name w:val="List Number 2"/>
    <w:basedOn w:val="Normal"/>
    <w:uiPriority w:val="99"/>
    <w:semiHidden/>
    <w:unhideWhenUsed/>
    <w:pPr>
      <w:numPr>
        <w:numId w:val="10"/>
      </w:numPr>
      <w:contextualSpacing/>
    </w:pPr>
  </w:style>
  <w:style w:type="paragraph" w:styleId="ListNumber3">
    <w:name w:val="List Number 3"/>
    <w:basedOn w:val="Normal"/>
    <w:uiPriority w:val="99"/>
    <w:semiHidden/>
    <w:unhideWhenUsed/>
    <w:pPr>
      <w:numPr>
        <w:numId w:val="11"/>
      </w:numPr>
      <w:contextualSpacing/>
    </w:pPr>
  </w:style>
  <w:style w:type="paragraph" w:styleId="ListNumber4">
    <w:name w:val="List Number 4"/>
    <w:basedOn w:val="Normal"/>
    <w:uiPriority w:val="99"/>
    <w:semiHidden/>
    <w:unhideWhenUsed/>
    <w:pPr>
      <w:numPr>
        <w:numId w:val="12"/>
      </w:numPr>
      <w:contextualSpacing/>
    </w:pPr>
  </w:style>
  <w:style w:type="paragraph" w:styleId="ListNumber5">
    <w:name w:val="List Number 5"/>
    <w:basedOn w:val="Normal"/>
    <w:uiPriority w:val="99"/>
    <w:semiHidden/>
    <w:unhideWhenUsed/>
    <w:pPr>
      <w:numPr>
        <w:numId w:val="13"/>
      </w:numPr>
      <w:contextualSpacing/>
    </w:pPr>
  </w:style>
  <w:style w:type="paragraph" w:styleId="MacroText">
    <w:name w:val="macro"/>
    <w:link w:val="MacroTextChar"/>
    <w:uiPriority w:val="99"/>
    <w:semiHidden/>
    <w:unhideWhenUsed/>
    <w:pPr>
      <w:tabs>
        <w:tab w:val="left" w:pos="480"/>
        <w:tab w:val="left" w:pos="960"/>
        <w:tab w:val="left" w:pos="1440"/>
        <w:tab w:val="left" w:pos="1920"/>
        <w:tab w:val="left" w:pos="2400"/>
        <w:tab w:val="left" w:pos="2880"/>
        <w:tab w:val="left" w:pos="3360"/>
        <w:tab w:val="left" w:pos="3840"/>
        <w:tab w:val="left" w:pos="4320"/>
      </w:tabs>
    </w:pPr>
    <w:rPr>
      <w:rFonts w:ascii="Consolas" w:eastAsia="Times New Roman" w:hAnsi="Consolas" w:cs="Consolas"/>
      <w:sz w:val="20"/>
      <w:szCs w:val="20"/>
    </w:rPr>
  </w:style>
  <w:style w:type="character" w:customStyle="1" w:styleId="MacroTextChar">
    <w:name w:val="Macro Text Char"/>
    <w:basedOn w:val="DefaultParagraphFont"/>
    <w:link w:val="MacroText"/>
    <w:uiPriority w:val="99"/>
    <w:semiHidden/>
    <w:rPr>
      <w:rFonts w:ascii="Consolas" w:eastAsia="Times New Roman" w:hAnsi="Consolas" w:cs="Consolas"/>
      <w:sz w:val="20"/>
      <w:szCs w:val="20"/>
    </w:rPr>
  </w:style>
  <w:style w:type="paragraph" w:styleId="NoSpacing">
    <w:name w:val="No Spacing"/>
    <w:uiPriority w:val="99"/>
    <w:semiHidden/>
    <w:qFormat/>
    <w:rPr>
      <w:rFonts w:eastAsia="Times New Roman" w:cs="Times New Roman"/>
    </w:rPr>
  </w:style>
  <w:style w:type="paragraph" w:styleId="NormalIndent">
    <w:name w:val="Normal Indent"/>
    <w:basedOn w:val="Normal"/>
    <w:uiPriority w:val="99"/>
    <w:semiHidden/>
    <w:unhideWhenUsed/>
    <w:pPr>
      <w:ind w:left="720"/>
    </w:pPr>
  </w:style>
  <w:style w:type="paragraph" w:styleId="NoteHeading">
    <w:name w:val="Note Heading"/>
    <w:basedOn w:val="Normal"/>
    <w:next w:val="Normal"/>
    <w:link w:val="NoteHeadingChar"/>
    <w:uiPriority w:val="99"/>
    <w:semiHidden/>
    <w:unhideWhenUsed/>
    <w:pPr>
      <w:spacing w:after="0"/>
    </w:pPr>
  </w:style>
  <w:style w:type="character" w:customStyle="1" w:styleId="NoteHeadingChar">
    <w:name w:val="Note Heading Char"/>
    <w:basedOn w:val="DefaultParagraphFont"/>
    <w:link w:val="NoteHeading"/>
    <w:uiPriority w:val="99"/>
    <w:semiHidden/>
    <w:rPr>
      <w:rFonts w:ascii="Times New Roman" w:eastAsia="Times New Roman" w:hAnsi="Times New Roman" w:cs="Times New Roman"/>
    </w:rPr>
  </w:style>
  <w:style w:type="paragraph" w:styleId="PlainText">
    <w:name w:val="Plain Text"/>
    <w:basedOn w:val="Normal"/>
    <w:link w:val="PlainTextChar"/>
    <w:uiPriority w:val="99"/>
    <w:semiHidden/>
    <w:unhideWhenUsed/>
    <w:pPr>
      <w:spacing w:after="0"/>
    </w:pPr>
    <w:rPr>
      <w:rFonts w:ascii="Consolas" w:hAnsi="Consolas" w:cs="Consolas"/>
      <w:sz w:val="21"/>
      <w:szCs w:val="21"/>
    </w:rPr>
  </w:style>
  <w:style w:type="character" w:customStyle="1" w:styleId="PlainTextChar">
    <w:name w:val="Plain Text Char"/>
    <w:basedOn w:val="DefaultParagraphFont"/>
    <w:link w:val="PlainText"/>
    <w:uiPriority w:val="99"/>
    <w:semiHidden/>
    <w:rPr>
      <w:rFonts w:ascii="Consolas" w:eastAsia="Times New Roman" w:hAnsi="Consolas" w:cs="Consolas"/>
      <w:sz w:val="21"/>
      <w:szCs w:val="21"/>
    </w:rPr>
  </w:style>
  <w:style w:type="paragraph" w:styleId="Salutation">
    <w:name w:val="Salutation"/>
    <w:basedOn w:val="Normal"/>
    <w:next w:val="Normal"/>
    <w:link w:val="SalutationChar"/>
    <w:uiPriority w:val="99"/>
    <w:semiHidden/>
    <w:unhideWhenUsed/>
  </w:style>
  <w:style w:type="character" w:customStyle="1" w:styleId="SalutationChar">
    <w:name w:val="Salutation Char"/>
    <w:basedOn w:val="DefaultParagraphFont"/>
    <w:link w:val="Salutation"/>
    <w:uiPriority w:val="99"/>
    <w:semiHidden/>
    <w:rPr>
      <w:rFonts w:ascii="Times New Roman" w:eastAsia="Times New Roman" w:hAnsi="Times New Roman" w:cs="Times New Roman"/>
    </w:rPr>
  </w:style>
  <w:style w:type="paragraph" w:styleId="Signature">
    <w:name w:val="Signature"/>
    <w:basedOn w:val="Normal"/>
    <w:link w:val="SignatureChar"/>
    <w:uiPriority w:val="99"/>
    <w:semiHidden/>
    <w:unhideWhenUsed/>
    <w:pPr>
      <w:spacing w:after="0"/>
      <w:ind w:left="4320"/>
    </w:pPr>
  </w:style>
  <w:style w:type="character" w:customStyle="1" w:styleId="SignatureChar">
    <w:name w:val="Signature Char"/>
    <w:basedOn w:val="DefaultParagraphFont"/>
    <w:link w:val="Signature"/>
    <w:uiPriority w:val="99"/>
    <w:semiHidden/>
    <w:rPr>
      <w:rFonts w:ascii="Times New Roman" w:eastAsia="Times New Roman" w:hAnsi="Times New Roman" w:cs="Times New Roman"/>
    </w:rPr>
  </w:style>
  <w:style w:type="paragraph" w:styleId="TableofAuthorities">
    <w:name w:val="table of authorities"/>
    <w:basedOn w:val="Normal"/>
    <w:next w:val="Normal"/>
    <w:uiPriority w:val="99"/>
    <w:semiHidden/>
    <w:unhideWhenUsed/>
    <w:pPr>
      <w:spacing w:after="0"/>
      <w:ind w:left="240" w:hanging="240"/>
    </w:pPr>
  </w:style>
  <w:style w:type="paragraph" w:styleId="TableofFigures">
    <w:name w:val="table of figures"/>
    <w:basedOn w:val="Normal"/>
    <w:next w:val="Normal"/>
    <w:uiPriority w:val="99"/>
    <w:semiHidden/>
    <w:unhideWhenUsed/>
    <w:pPr>
      <w:spacing w:after="0"/>
    </w:pPr>
  </w:style>
  <w:style w:type="paragraph" w:customStyle="1" w:styleId="1indent">
    <w:name w:val="1&quot;indent"/>
    <w:basedOn w:val="Normal"/>
    <w:pPr>
      <w:ind w:left="1440"/>
      <w:jc w:val="both"/>
    </w:pPr>
    <w:rPr>
      <w:rFonts w:asciiTheme="minorHAnsi" w:hAnsiTheme="minorHAnsi"/>
    </w:rPr>
  </w:style>
  <w:style w:type="paragraph" w:customStyle="1" w:styleId="15indent">
    <w:name w:val="1.5&quot;indent"/>
    <w:basedOn w:val="1indent"/>
    <w:pPr>
      <w:ind w:left="2160"/>
    </w:pPr>
  </w:style>
  <w:style w:type="character" w:styleId="Hyperlink">
    <w:name w:val="Hyperlink"/>
    <w:basedOn w:val="DefaultParagraphFont"/>
    <w:uiPriority w:val="99"/>
    <w:unhideWhenUsed/>
    <w:rPr>
      <w:color w:val="0000FF" w:themeColor="hyperlink"/>
      <w:u w:val="single"/>
    </w:rPr>
  </w:style>
  <w:style w:type="paragraph" w:customStyle="1" w:styleId="5indent">
    <w:name w:val=".5&quot;indent"/>
    <w:basedOn w:val="1indent"/>
    <w:pPr>
      <w:ind w:left="720"/>
    </w:pPr>
  </w:style>
  <w:style w:type="paragraph" w:customStyle="1" w:styleId="2indent">
    <w:name w:val="2&quot;indent"/>
    <w:basedOn w:val="15indent"/>
    <w:pPr>
      <w:ind w:left="2880"/>
    </w:p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Microsoft%20Office\Templates\FR%20Templates\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633594-8497-3D41-A641-210DEAA72C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C:\Program Files (x86)\Microsoft Office\Templates\FR Templates\Blank.dotx</Template>
  <TotalTime>87</TotalTime>
  <Pages>13</Pages>
  <Words>4839</Words>
  <Characters>27584</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Brooke Tomlinson</dc:creator>
  <cp:lastModifiedBy>Christopher Smith</cp:lastModifiedBy>
  <cp:revision>27</cp:revision>
  <cp:lastPrinted>2018-08-14T15:39:00Z</cp:lastPrinted>
  <dcterms:created xsi:type="dcterms:W3CDTF">2018-08-14T10:00:00Z</dcterms:created>
  <dcterms:modified xsi:type="dcterms:W3CDTF">2018-08-17T19:09:00Z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pcgBlank</vt:lpwstr>
  </property>
  <property fmtid="{D5CDD505-2E9C-101B-9397-08002B2CF9AE}" pid="3" name="DOCID">
    <vt:lpwstr>ACTIVE 29923795v8</vt:lpwstr>
  </property>
</Properties>
</file>